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40"/>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151765</wp:posOffset>
            </wp:positionH>
            <wp:positionV relativeFrom="page">
              <wp:posOffset>435610</wp:posOffset>
            </wp:positionV>
            <wp:extent cx="725741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page">
              <wp:posOffset>151765</wp:posOffset>
            </wp:positionH>
            <wp:positionV relativeFrom="page">
              <wp:posOffset>474980</wp:posOffset>
            </wp:positionV>
            <wp:extent cx="725741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7620"/>
                    </a:xfrm>
                    <a:prstGeom prst="rect">
                      <a:avLst/>
                    </a:prstGeom>
                    <a:noFill/>
                  </pic:spPr>
                </pic:pic>
              </a:graphicData>
            </a:graphic>
          </wp:anchor>
        </w:drawing>
        <w:t>UNITED STATES</w:t>
      </w:r>
    </w:p>
    <w:p>
      <w:pPr>
        <w:spacing w:after="0" w:line="34" w:lineRule="exact"/>
        <w:rPr>
          <w:sz w:val="24"/>
          <w:szCs w:val="24"/>
          <w:color w:val="auto"/>
        </w:rPr>
      </w:pPr>
    </w:p>
    <w:p>
      <w:pPr>
        <w:jc w:val="center"/>
        <w:ind w:right="-140"/>
        <w:spacing w:after="0"/>
        <w:rPr>
          <w:sz w:val="20"/>
          <w:szCs w:val="20"/>
          <w:color w:val="auto"/>
        </w:rPr>
      </w:pPr>
      <w:r>
        <w:rPr>
          <w:rFonts w:ascii="Arial" w:cs="Arial" w:eastAsia="Arial" w:hAnsi="Arial"/>
          <w:sz w:val="30"/>
          <w:szCs w:val="30"/>
          <w:b w:val="1"/>
          <w:bCs w:val="1"/>
          <w:color w:val="auto"/>
        </w:rPr>
        <w:t>SECURITIES AND EXCHANGE COMMISSION</w:t>
      </w:r>
    </w:p>
    <w:p>
      <w:pPr>
        <w:jc w:val="center"/>
        <w:ind w:right="-14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93980</wp:posOffset>
            </wp:positionV>
            <wp:extent cx="27184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81" w:lineRule="exact"/>
        <w:rPr>
          <w:sz w:val="24"/>
          <w:szCs w:val="24"/>
          <w:color w:val="auto"/>
        </w:rPr>
      </w:pPr>
    </w:p>
    <w:p>
      <w:pPr>
        <w:jc w:val="center"/>
        <w:ind w:right="-140"/>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157480</wp:posOffset>
            </wp:positionV>
            <wp:extent cx="27184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85" w:lineRule="exact"/>
        <w:rPr>
          <w:sz w:val="24"/>
          <w:szCs w:val="24"/>
          <w:color w:val="auto"/>
        </w:rPr>
      </w:pPr>
    </w:p>
    <w:p>
      <w:pPr>
        <w:ind w:left="361" w:hanging="361"/>
        <w:spacing w:after="0"/>
        <w:tabs>
          <w:tab w:leader="none" w:pos="361" w:val="left"/>
        </w:tabs>
        <w:numPr>
          <w:ilvl w:val="0"/>
          <w:numId w:val="1"/>
        </w:numPr>
        <w:rPr>
          <w:rFonts w:ascii="Arial" w:cs="Arial" w:eastAsia="Arial" w:hAnsi="Arial"/>
          <w:sz w:val="17"/>
          <w:szCs w:val="17"/>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51"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For the Quarterly Period Ended September 30, 2012</w:t>
      </w:r>
    </w:p>
    <w:p>
      <w:pPr>
        <w:spacing w:after="0" w:line="140"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or</w:t>
      </w:r>
    </w:p>
    <w:p>
      <w:pPr>
        <w:spacing w:after="0" w:line="143" w:lineRule="exact"/>
        <w:rPr>
          <w:sz w:val="24"/>
          <w:szCs w:val="24"/>
          <w:color w:val="auto"/>
        </w:rPr>
      </w:pPr>
    </w:p>
    <w:p>
      <w:pPr>
        <w:ind w:left="401"/>
        <w:spacing w:after="0"/>
        <w:rPr>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51"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Commission File Number 1-6714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109855</wp:posOffset>
            </wp:positionV>
            <wp:extent cx="271843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0" w:lineRule="exact"/>
        <w:rPr>
          <w:sz w:val="24"/>
          <w:szCs w:val="24"/>
          <w:color w:val="auto"/>
        </w:rPr>
      </w:pPr>
    </w:p>
    <w:p>
      <w:pPr>
        <w:jc w:val="center"/>
        <w:ind w:right="-140"/>
        <w:spacing w:after="0"/>
        <w:rPr>
          <w:sz w:val="20"/>
          <w:szCs w:val="20"/>
          <w:color w:val="auto"/>
        </w:rPr>
      </w:pPr>
      <w:r>
        <w:rPr>
          <w:rFonts w:ascii="Arial" w:cs="Arial" w:eastAsia="Arial" w:hAnsi="Arial"/>
          <w:sz w:val="40"/>
          <w:szCs w:val="40"/>
          <w:b w:val="1"/>
          <w:bCs w:val="1"/>
          <w:color w:val="auto"/>
        </w:rPr>
        <w:t>THE WASHINGTON POST COMPANY</w:t>
      </w:r>
    </w:p>
    <w:p>
      <w:pPr>
        <w:spacing w:after="0" w:line="48" w:lineRule="exact"/>
        <w:rPr>
          <w:sz w:val="24"/>
          <w:szCs w:val="24"/>
          <w:color w:val="auto"/>
        </w:rPr>
      </w:pPr>
    </w:p>
    <w:p>
      <w:pPr>
        <w:jc w:val="center"/>
        <w:ind w:right="-140"/>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88900</wp:posOffset>
            </wp:positionV>
            <wp:extent cx="271843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196" w:lineRule="exact"/>
        <w:rPr>
          <w:sz w:val="24"/>
          <w:szCs w:val="24"/>
          <w:color w:val="auto"/>
        </w:rPr>
      </w:pPr>
    </w:p>
    <w:tbl>
      <w:tblPr>
        <w:tblLayout w:type="fixed"/>
        <w:tblInd w:w="1301" w:type="dxa"/>
        <w:tblCellMar>
          <w:top w:w="0" w:type="dxa"/>
          <w:left w:w="0" w:type="dxa"/>
          <w:bottom w:w="0" w:type="dxa"/>
          <w:right w:w="0" w:type="dxa"/>
        </w:tblCellMar>
      </w:tblPr>
      <w:tr>
        <w:trPr>
          <w:trHeight w:val="195"/>
        </w:trPr>
        <w:tc>
          <w:tcPr>
            <w:tcW w:w="6360" w:type="dxa"/>
            <w:vAlign w:val="bottom"/>
          </w:tcPr>
          <w:p>
            <w:pPr>
              <w:jc w:val="center"/>
              <w:ind w:right="3169"/>
              <w:spacing w:after="0"/>
              <w:rPr>
                <w:sz w:val="20"/>
                <w:szCs w:val="20"/>
                <w:color w:val="auto"/>
              </w:rPr>
            </w:pPr>
            <w:r>
              <w:rPr>
                <w:rFonts w:ascii="Arial" w:cs="Arial" w:eastAsia="Arial" w:hAnsi="Arial"/>
                <w:sz w:val="17"/>
                <w:szCs w:val="17"/>
                <w:b w:val="1"/>
                <w:bCs w:val="1"/>
                <w:color w:val="auto"/>
                <w:w w:val="96"/>
              </w:rPr>
              <w:t>Delaware</w:t>
            </w:r>
          </w:p>
        </w:tc>
        <w:tc>
          <w:tcPr>
            <w:tcW w:w="1440" w:type="dxa"/>
            <w:vAlign w:val="bottom"/>
          </w:tcPr>
          <w:p>
            <w:pPr>
              <w:jc w:val="right"/>
              <w:ind w:right="10"/>
              <w:spacing w:after="0"/>
              <w:rPr>
                <w:sz w:val="20"/>
                <w:szCs w:val="20"/>
                <w:color w:val="auto"/>
              </w:rPr>
            </w:pPr>
            <w:r>
              <w:rPr>
                <w:rFonts w:ascii="Arial" w:cs="Arial" w:eastAsia="Arial" w:hAnsi="Arial"/>
                <w:sz w:val="17"/>
                <w:szCs w:val="17"/>
                <w:b w:val="1"/>
                <w:bCs w:val="1"/>
                <w:color w:val="auto"/>
              </w:rPr>
              <w:t>53-0182885</w:t>
            </w:r>
          </w:p>
        </w:tc>
      </w:tr>
      <w:tr>
        <w:trPr>
          <w:trHeight w:val="137"/>
        </w:trPr>
        <w:tc>
          <w:tcPr>
            <w:tcW w:w="6360" w:type="dxa"/>
            <w:vAlign w:val="bottom"/>
          </w:tcPr>
          <w:p>
            <w:pPr>
              <w:jc w:val="center"/>
              <w:ind w:right="3169"/>
              <w:spacing w:after="0" w:line="137" w:lineRule="exact"/>
              <w:rPr>
                <w:sz w:val="20"/>
                <w:szCs w:val="20"/>
                <w:color w:val="auto"/>
              </w:rPr>
            </w:pPr>
            <w:r>
              <w:rPr>
                <w:rFonts w:ascii="Arial" w:cs="Arial" w:eastAsia="Arial" w:hAnsi="Arial"/>
                <w:sz w:val="12"/>
                <w:szCs w:val="12"/>
                <w:b w:val="1"/>
                <w:bCs w:val="1"/>
                <w:color w:val="auto"/>
              </w:rPr>
              <w:t>(State or other jurisdiction of</w:t>
            </w:r>
          </w:p>
        </w:tc>
        <w:tc>
          <w:tcPr>
            <w:tcW w:w="1440" w:type="dxa"/>
            <w:vAlign w:val="bottom"/>
          </w:tcPr>
          <w:p>
            <w:pPr>
              <w:jc w:val="center"/>
              <w:ind w:left="330"/>
              <w:spacing w:after="0" w:line="137" w:lineRule="exact"/>
              <w:rPr>
                <w:sz w:val="20"/>
                <w:szCs w:val="20"/>
                <w:color w:val="auto"/>
              </w:rPr>
            </w:pPr>
            <w:r>
              <w:rPr>
                <w:rFonts w:ascii="Arial" w:cs="Arial" w:eastAsia="Arial" w:hAnsi="Arial"/>
                <w:sz w:val="12"/>
                <w:szCs w:val="12"/>
                <w:b w:val="1"/>
                <w:bCs w:val="1"/>
                <w:color w:val="auto"/>
              </w:rPr>
              <w:t>(I.R.S. Employer</w:t>
            </w:r>
          </w:p>
        </w:tc>
      </w:tr>
      <w:tr>
        <w:trPr>
          <w:trHeight w:val="162"/>
        </w:trPr>
        <w:tc>
          <w:tcPr>
            <w:tcW w:w="6360" w:type="dxa"/>
            <w:vAlign w:val="bottom"/>
          </w:tcPr>
          <w:p>
            <w:pPr>
              <w:jc w:val="center"/>
              <w:ind w:right="3169"/>
              <w:spacing w:after="0"/>
              <w:rPr>
                <w:sz w:val="20"/>
                <w:szCs w:val="20"/>
                <w:color w:val="auto"/>
              </w:rPr>
            </w:pPr>
            <w:r>
              <w:rPr>
                <w:rFonts w:ascii="Arial" w:cs="Arial" w:eastAsia="Arial" w:hAnsi="Arial"/>
                <w:sz w:val="12"/>
                <w:szCs w:val="12"/>
                <w:b w:val="1"/>
                <w:bCs w:val="1"/>
                <w:color w:val="auto"/>
              </w:rPr>
              <w:t>incorporation or organization)</w:t>
            </w:r>
          </w:p>
        </w:tc>
        <w:tc>
          <w:tcPr>
            <w:tcW w:w="1440" w:type="dxa"/>
            <w:vAlign w:val="bottom"/>
          </w:tcPr>
          <w:p>
            <w:pPr>
              <w:jc w:val="center"/>
              <w:ind w:left="330"/>
              <w:spacing w:after="0"/>
              <w:rPr>
                <w:sz w:val="20"/>
                <w:szCs w:val="20"/>
                <w:color w:val="auto"/>
              </w:rPr>
            </w:pPr>
            <w:r>
              <w:rPr>
                <w:rFonts w:ascii="Arial" w:cs="Arial" w:eastAsia="Arial" w:hAnsi="Arial"/>
                <w:sz w:val="12"/>
                <w:szCs w:val="12"/>
                <w:b w:val="1"/>
                <w:bCs w:val="1"/>
                <w:color w:val="auto"/>
              </w:rPr>
              <w:t>Identification No.)</w:t>
            </w:r>
          </w:p>
        </w:tc>
      </w:tr>
      <w:tr>
        <w:trPr>
          <w:trHeight w:val="396"/>
        </w:trPr>
        <w:tc>
          <w:tcPr>
            <w:tcW w:w="6360" w:type="dxa"/>
            <w:vAlign w:val="bottom"/>
          </w:tcPr>
          <w:p>
            <w:pPr>
              <w:jc w:val="center"/>
              <w:ind w:right="3169"/>
              <w:spacing w:after="0"/>
              <w:rPr>
                <w:sz w:val="20"/>
                <w:szCs w:val="20"/>
                <w:color w:val="auto"/>
              </w:rPr>
            </w:pPr>
            <w:r>
              <w:rPr>
                <w:rFonts w:ascii="Arial" w:cs="Arial" w:eastAsia="Arial" w:hAnsi="Arial"/>
                <w:sz w:val="17"/>
                <w:szCs w:val="17"/>
                <w:b w:val="1"/>
                <w:bCs w:val="1"/>
                <w:color w:val="auto"/>
                <w:w w:val="96"/>
              </w:rPr>
              <w:t>1150 15th Street, N.W. Washington, D.C.</w:t>
            </w:r>
          </w:p>
        </w:tc>
        <w:tc>
          <w:tcPr>
            <w:tcW w:w="1440" w:type="dxa"/>
            <w:vAlign w:val="bottom"/>
          </w:tcPr>
          <w:p>
            <w:pPr>
              <w:jc w:val="right"/>
              <w:ind w:right="230"/>
              <w:spacing w:after="0"/>
              <w:rPr>
                <w:sz w:val="20"/>
                <w:szCs w:val="20"/>
                <w:color w:val="auto"/>
              </w:rPr>
            </w:pPr>
            <w:r>
              <w:rPr>
                <w:rFonts w:ascii="Arial" w:cs="Arial" w:eastAsia="Arial" w:hAnsi="Arial"/>
                <w:sz w:val="17"/>
                <w:szCs w:val="17"/>
                <w:b w:val="1"/>
                <w:bCs w:val="1"/>
                <w:color w:val="auto"/>
              </w:rPr>
              <w:t>20071</w:t>
            </w:r>
          </w:p>
        </w:tc>
      </w:tr>
      <w:tr>
        <w:trPr>
          <w:trHeight w:val="162"/>
        </w:trPr>
        <w:tc>
          <w:tcPr>
            <w:tcW w:w="6360" w:type="dxa"/>
            <w:vAlign w:val="bottom"/>
          </w:tcPr>
          <w:p>
            <w:pPr>
              <w:jc w:val="center"/>
              <w:ind w:right="3169"/>
              <w:spacing w:after="0"/>
              <w:rPr>
                <w:sz w:val="20"/>
                <w:szCs w:val="20"/>
                <w:color w:val="auto"/>
              </w:rPr>
            </w:pPr>
            <w:r>
              <w:rPr>
                <w:rFonts w:ascii="Arial" w:cs="Arial" w:eastAsia="Arial" w:hAnsi="Arial"/>
                <w:sz w:val="12"/>
                <w:szCs w:val="12"/>
                <w:b w:val="1"/>
                <w:bCs w:val="1"/>
                <w:color w:val="auto"/>
              </w:rPr>
              <w:t>(Address of principal executive offices)</w:t>
            </w:r>
          </w:p>
        </w:tc>
        <w:tc>
          <w:tcPr>
            <w:tcW w:w="1440" w:type="dxa"/>
            <w:vAlign w:val="bottom"/>
          </w:tcPr>
          <w:p>
            <w:pPr>
              <w:jc w:val="center"/>
              <w:ind w:left="310"/>
              <w:spacing w:after="0"/>
              <w:rPr>
                <w:sz w:val="20"/>
                <w:szCs w:val="20"/>
                <w:color w:val="auto"/>
              </w:rPr>
            </w:pPr>
            <w:r>
              <w:rPr>
                <w:rFonts w:ascii="Arial" w:cs="Arial" w:eastAsia="Arial" w:hAnsi="Arial"/>
                <w:sz w:val="12"/>
                <w:szCs w:val="12"/>
                <w:b w:val="1"/>
                <w:bCs w:val="1"/>
                <w:color w:val="auto"/>
              </w:rPr>
              <w:t>(Zip Code)</w:t>
            </w:r>
          </w:p>
        </w:tc>
      </w:tr>
      <w:tr>
        <w:trPr>
          <w:trHeight w:val="309"/>
        </w:trPr>
        <w:tc>
          <w:tcPr>
            <w:tcW w:w="6360" w:type="dxa"/>
            <w:vAlign w:val="bottom"/>
          </w:tcPr>
          <w:p>
            <w:pPr>
              <w:jc w:val="right"/>
              <w:ind w:right="1309"/>
              <w:spacing w:after="0"/>
              <w:rPr>
                <w:sz w:val="20"/>
                <w:szCs w:val="20"/>
                <w:color w:val="auto"/>
              </w:rPr>
            </w:pPr>
            <w:r>
              <w:rPr>
                <w:rFonts w:ascii="Arial" w:cs="Arial" w:eastAsia="Arial" w:hAnsi="Arial"/>
                <w:sz w:val="17"/>
                <w:szCs w:val="17"/>
                <w:b w:val="1"/>
                <w:bCs w:val="1"/>
                <w:color w:val="auto"/>
              </w:rPr>
              <w:t>(202) 334-6000</w:t>
            </w:r>
          </w:p>
        </w:tc>
        <w:tc>
          <w:tcPr>
            <w:tcW w:w="1440" w:type="dxa"/>
            <w:vAlign w:val="bottom"/>
          </w:tcPr>
          <w:p>
            <w:pPr>
              <w:spacing w:after="0"/>
              <w:rPr>
                <w:sz w:val="24"/>
                <w:szCs w:val="24"/>
                <w:color w:val="auto"/>
              </w:rPr>
            </w:pPr>
          </w:p>
        </w:tc>
      </w:tr>
      <w:tr>
        <w:trPr>
          <w:trHeight w:val="162"/>
        </w:trPr>
        <w:tc>
          <w:tcPr>
            <w:tcW w:w="6360" w:type="dxa"/>
            <w:vAlign w:val="bottom"/>
          </w:tcPr>
          <w:p>
            <w:pPr>
              <w:jc w:val="center"/>
              <w:ind w:left="2389"/>
              <w:spacing w:after="0"/>
              <w:rPr>
                <w:sz w:val="20"/>
                <w:szCs w:val="20"/>
                <w:color w:val="auto"/>
              </w:rPr>
            </w:pPr>
            <w:r>
              <w:rPr>
                <w:rFonts w:ascii="Arial" w:cs="Arial" w:eastAsia="Arial" w:hAnsi="Arial"/>
                <w:sz w:val="12"/>
                <w:szCs w:val="12"/>
                <w:b w:val="1"/>
                <w:bCs w:val="1"/>
                <w:color w:val="auto"/>
              </w:rPr>
              <w:t>(Registrant’s telephone number, including area code)</w:t>
            </w:r>
          </w:p>
        </w:tc>
        <w:tc>
          <w:tcPr>
            <w:tcW w:w="1440" w:type="dxa"/>
            <w:vAlign w:val="bottom"/>
          </w:tcPr>
          <w:p>
            <w:pPr>
              <w:spacing w:after="0"/>
              <w:rPr>
                <w:sz w:val="14"/>
                <w:szCs w:val="1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2270125</wp:posOffset>
            </wp:positionH>
            <wp:positionV relativeFrom="paragraph">
              <wp:posOffset>95250</wp:posOffset>
            </wp:positionV>
            <wp:extent cx="27184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7620"/>
                    </a:xfrm>
                    <a:prstGeom prst="rect">
                      <a:avLst/>
                    </a:prstGeom>
                    <a:noFill/>
                  </pic:spPr>
                </pic:pic>
              </a:graphicData>
            </a:graphic>
          </wp:anchor>
        </w:drawing>
      </w:r>
    </w:p>
    <w:p>
      <w:pPr>
        <w:spacing w:after="0" w:line="216" w:lineRule="exact"/>
        <w:rPr>
          <w:sz w:val="24"/>
          <w:szCs w:val="24"/>
          <w:color w:val="auto"/>
        </w:rPr>
      </w:pPr>
    </w:p>
    <w:p>
      <w:pPr>
        <w:jc w:val="both"/>
        <w:ind w:left="1" w:right="300"/>
        <w:spacing w:after="0" w:line="19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4"/>
          <w:szCs w:val="14"/>
          <w:color w:val="auto"/>
        </w:rPr>
        <w:t>x</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ind w:left="1"/>
        <w:spacing w:after="0" w:line="19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7"/>
          <w:szCs w:val="17"/>
          <w:color w:val="auto"/>
        </w:rPr>
        <w:t>☐</w:t>
      </w:r>
      <w:r>
        <w:rPr>
          <w:rFonts w:ascii="Arial" w:cs="Arial" w:eastAsia="Arial" w:hAnsi="Arial"/>
          <w:sz w:val="17"/>
          <w:szCs w:val="17"/>
          <w:color w:val="auto"/>
        </w:rPr>
        <w:t>.</w:t>
      </w:r>
    </w:p>
    <w:p>
      <w:pPr>
        <w:spacing w:after="0" w:line="131" w:lineRule="exact"/>
        <w:rPr>
          <w:sz w:val="24"/>
          <w:szCs w:val="24"/>
          <w:color w:val="auto"/>
        </w:rPr>
      </w:pPr>
    </w:p>
    <w:p>
      <w:pPr>
        <w:ind w:left="1" w:right="140"/>
        <w:spacing w:after="0" w:line="235"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“large accelerated filer,” accelerated filer” and “small reporting company” in Rule 12b-2 of the Exchange Act.</w:t>
      </w:r>
    </w:p>
    <w:p>
      <w:pPr>
        <w:spacing w:after="0" w:line="121" w:lineRule="exact"/>
        <w:rPr>
          <w:sz w:val="24"/>
          <w:szCs w:val="24"/>
          <w:color w:val="auto"/>
        </w:rPr>
      </w:pPr>
    </w:p>
    <w:p>
      <w:pPr>
        <w:ind w:left="1"/>
        <w:spacing w:after="0" w:line="196" w:lineRule="exact"/>
        <w:tabs>
          <w:tab w:leader="none" w:pos="2161" w:val="left"/>
          <w:tab w:leader="none" w:pos="3061" w:val="left"/>
          <w:tab w:leader="none" w:pos="4781" w:val="left"/>
          <w:tab w:leader="none" w:pos="5821" w:val="left"/>
          <w:tab w:leader="none" w:pos="7901" w:val="left"/>
          <w:tab w:leader="none" w:pos="8561" w:val="left"/>
          <w:tab w:leader="none" w:pos="10961" w:val="left"/>
        </w:tabs>
        <w:rPr>
          <w:sz w:val="20"/>
          <w:szCs w:val="20"/>
          <w:color w:val="auto"/>
        </w:rPr>
      </w:pPr>
      <w:r>
        <w:rPr>
          <w:rFonts w:ascii="Arial" w:cs="Arial" w:eastAsia="Arial" w:hAnsi="Arial"/>
          <w:sz w:val="15"/>
          <w:szCs w:val="15"/>
          <w:color w:val="auto"/>
        </w:rPr>
        <w:t>Large accelerated filer</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5"/>
          <w:szCs w:val="15"/>
          <w:color w:val="auto"/>
        </w:rPr>
        <w:t>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Non-accelerated filer</w:t>
      </w:r>
      <w:r>
        <w:rPr>
          <w:sz w:val="20"/>
          <w:szCs w:val="20"/>
          <w:color w:val="auto"/>
        </w:rPr>
        <w:tab/>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52" w:lineRule="exact"/>
        <w:rPr>
          <w:sz w:val="24"/>
          <w:szCs w:val="24"/>
          <w:color w:val="auto"/>
        </w:rPr>
      </w:pPr>
    </w:p>
    <w:p>
      <w:pPr>
        <w:ind w:left="1"/>
        <w:spacing w:after="0" w:line="184" w:lineRule="exact"/>
        <w:tabs>
          <w:tab w:leader="none" w:pos="7581" w:val="left"/>
          <w:tab w:leader="none" w:pos="8261"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5"/>
          <w:szCs w:val="15"/>
          <w:color w:val="auto"/>
        </w:rPr>
        <w:t>.</w:t>
        <w:tab/>
        <w:t xml:space="preserve">No </w:t>
      </w:r>
      <w:r>
        <w:rPr>
          <w:rFonts w:ascii="Arial" w:cs="Arial" w:eastAsia="Arial" w:hAnsi="Arial"/>
          <w:sz w:val="16"/>
          <w:szCs w:val="16"/>
          <w:color w:val="auto"/>
        </w:rPr>
        <w:t>x</w:t>
      </w:r>
      <w:r>
        <w:rPr>
          <w:rFonts w:ascii="Arial" w:cs="Arial" w:eastAsia="Arial" w:hAnsi="Arial"/>
          <w:sz w:val="15"/>
          <w:szCs w:val="15"/>
          <w:color w:val="auto"/>
        </w:rPr>
        <w:t>.</w:t>
      </w:r>
    </w:p>
    <w:p>
      <w:pPr>
        <w:spacing w:after="0" w:line="205" w:lineRule="exact"/>
        <w:rPr>
          <w:sz w:val="24"/>
          <w:szCs w:val="24"/>
          <w:color w:val="auto"/>
        </w:rPr>
      </w:pPr>
    </w:p>
    <w:p>
      <w:pPr>
        <w:ind w:left="1"/>
        <w:spacing w:after="0"/>
        <w:rPr>
          <w:sz w:val="20"/>
          <w:szCs w:val="20"/>
          <w:color w:val="auto"/>
        </w:rPr>
      </w:pPr>
      <w:r>
        <w:rPr>
          <w:rFonts w:ascii="Arial" w:cs="Arial" w:eastAsia="Arial" w:hAnsi="Arial"/>
          <w:sz w:val="17"/>
          <w:szCs w:val="17"/>
          <w:color w:val="auto"/>
        </w:rPr>
        <w:t>Shares outstanding at November 2, 2012:</w:t>
      </w:r>
    </w:p>
    <w:p>
      <w:pPr>
        <w:spacing w:after="0" w:line="81" w:lineRule="exact"/>
        <w:rPr>
          <w:sz w:val="24"/>
          <w:szCs w:val="24"/>
          <w:color w:val="auto"/>
        </w:rPr>
      </w:pPr>
    </w:p>
    <w:p>
      <w:pPr>
        <w:ind w:left="2381"/>
        <w:spacing w:after="0"/>
        <w:rPr>
          <w:sz w:val="20"/>
          <w:szCs w:val="20"/>
          <w:color w:val="auto"/>
        </w:rPr>
      </w:pPr>
      <w:r>
        <w:rPr>
          <w:rFonts w:ascii="Arial" w:cs="Arial" w:eastAsia="Arial" w:hAnsi="Arial"/>
          <w:sz w:val="17"/>
          <w:szCs w:val="17"/>
          <w:color w:val="auto"/>
        </w:rPr>
        <w:t>Class A Common Stock – 1,219,383 Shares</w:t>
      </w:r>
    </w:p>
    <w:p>
      <w:pPr>
        <w:ind w:left="2381"/>
        <w:spacing w:after="0"/>
        <w:rPr>
          <w:sz w:val="20"/>
          <w:szCs w:val="20"/>
          <w:color w:val="auto"/>
        </w:rPr>
      </w:pPr>
      <w:r>
        <w:rPr>
          <w:rFonts w:ascii="Arial" w:cs="Arial" w:eastAsia="Arial" w:hAnsi="Arial"/>
          <w:sz w:val="17"/>
          <w:szCs w:val="17"/>
          <w:color w:val="auto"/>
        </w:rPr>
        <w:t>Class B Common Stock – 6,158,779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104775</wp:posOffset>
            </wp:positionV>
            <wp:extent cx="725741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582930</wp:posOffset>
            </wp:positionV>
            <wp:extent cx="727837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01"/>
          </w:cols>
          <w:pgMar w:left="239" w:top="837" w:right="359" w:bottom="1440" w:gutter="0" w:footer="0" w:header="0"/>
        </w:sectPr>
      </w:pPr>
    </w:p>
    <w:bookmarkStart w:id="1" w:name="page2"/>
    <w:bookmarkEnd w:id="1"/>
    <w:p>
      <w:pPr>
        <w:jc w:val="center"/>
        <w:ind w:left="1020"/>
        <w:spacing w:after="0"/>
        <w:rPr>
          <w:sz w:val="20"/>
          <w:szCs w:val="20"/>
          <w:color w:val="auto"/>
        </w:rPr>
      </w:pPr>
      <w:r>
        <w:rPr>
          <w:rFonts w:ascii="Arial" w:cs="Arial" w:eastAsia="Arial" w:hAnsi="Arial"/>
          <w:sz w:val="17"/>
          <w:szCs w:val="17"/>
          <w:b w:val="1"/>
          <w:bCs w:val="1"/>
          <w:color w:val="auto"/>
        </w:rPr>
        <w:t>THE WASHINGTON POST COMPANY</w:t>
      </w:r>
    </w:p>
    <w:p>
      <w:pPr>
        <w:spacing w:after="0" w:line="65" w:lineRule="exact"/>
        <w:rPr>
          <w:sz w:val="20"/>
          <w:szCs w:val="20"/>
          <w:color w:val="auto"/>
        </w:rPr>
      </w:pPr>
    </w:p>
    <w:p>
      <w:pPr>
        <w:jc w:val="center"/>
        <w:ind w:left="1020"/>
        <w:spacing w:after="0"/>
        <w:rPr>
          <w:sz w:val="20"/>
          <w:szCs w:val="20"/>
          <w:color w:val="auto"/>
        </w:rPr>
      </w:pPr>
      <w:r>
        <w:rPr>
          <w:rFonts w:ascii="Arial" w:cs="Arial" w:eastAsia="Arial" w:hAnsi="Arial"/>
          <w:sz w:val="17"/>
          <w:szCs w:val="17"/>
          <w:b w:val="1"/>
          <w:bCs w:val="1"/>
          <w:color w:val="auto"/>
        </w:rPr>
        <w:t>Index to Form 10-Q</w:t>
      </w:r>
    </w:p>
    <w:p>
      <w:pPr>
        <w:spacing w:after="0" w:line="361" w:lineRule="exact"/>
        <w:rPr>
          <w:sz w:val="20"/>
          <w:szCs w:val="20"/>
          <w:color w:val="auto"/>
        </w:rPr>
      </w:pPr>
    </w:p>
    <w:p>
      <w:pPr>
        <w:spacing w:after="0"/>
        <w:rPr>
          <w:sz w:val="20"/>
          <w:szCs w:val="20"/>
          <w:color w:val="auto"/>
        </w:rPr>
      </w:pPr>
      <w:r>
        <w:rPr>
          <w:rFonts w:ascii="Arial" w:cs="Arial" w:eastAsia="Arial" w:hAnsi="Arial"/>
          <w:sz w:val="15"/>
          <w:szCs w:val="15"/>
          <w:color w:val="auto"/>
        </w:rPr>
        <w:t>PART I. FINANCIAL INFORMATION</w:t>
      </w:r>
    </w:p>
    <w:p>
      <w:pPr>
        <w:spacing w:after="0" w:line="175" w:lineRule="exact"/>
        <w:rPr>
          <w:sz w:val="20"/>
          <w:szCs w:val="20"/>
          <w:color w:val="auto"/>
        </w:rPr>
      </w:pPr>
    </w:p>
    <w:p>
      <w:pPr>
        <w:spacing w:after="0"/>
        <w:tabs>
          <w:tab w:leader="none" w:pos="780" w:val="left"/>
        </w:tabs>
        <w:rPr>
          <w:sz w:val="20"/>
          <w:szCs w:val="20"/>
          <w:color w:val="auto"/>
        </w:rPr>
      </w:pPr>
      <w:r>
        <w:rPr>
          <w:rFonts w:ascii="Arial" w:cs="Arial" w:eastAsia="Arial" w:hAnsi="Arial"/>
          <w:sz w:val="15"/>
          <w:szCs w:val="15"/>
          <w:color w:val="auto"/>
        </w:rPr>
        <w:t>Item 1.</w:t>
      </w:r>
      <w:r>
        <w:rPr>
          <w:sz w:val="20"/>
          <w:szCs w:val="20"/>
          <w:color w:val="auto"/>
        </w:rPr>
        <w:tab/>
      </w:r>
      <w:r>
        <w:rPr>
          <w:rFonts w:ascii="Arial" w:cs="Arial" w:eastAsia="Arial" w:hAnsi="Arial"/>
          <w:sz w:val="14"/>
          <w:szCs w:val="14"/>
          <w:color w:val="auto"/>
        </w:rPr>
        <w:t>Financial Statements</w:t>
      </w:r>
    </w:p>
    <w:p>
      <w:pPr>
        <w:spacing w:after="0" w:line="175" w:lineRule="exact"/>
        <w:rPr>
          <w:sz w:val="20"/>
          <w:szCs w:val="20"/>
          <w:color w:val="auto"/>
        </w:rPr>
      </w:pPr>
    </w:p>
    <w:p>
      <w:pPr>
        <w:ind w:left="1120" w:right="120" w:hanging="314"/>
        <w:spacing w:after="0" w:line="250" w:lineRule="auto"/>
        <w:tabs>
          <w:tab w:leader="none" w:pos="113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Operations (Unaudited) for the Three and Nine Months Ended September 30, 2012 and October 2, 2011</w:t>
      </w:r>
    </w:p>
    <w:p>
      <w:pPr>
        <w:spacing w:after="0" w:line="323" w:lineRule="exact"/>
        <w:rPr>
          <w:rFonts w:ascii="Arial" w:cs="Arial" w:eastAsia="Arial" w:hAnsi="Arial"/>
          <w:sz w:val="15"/>
          <w:szCs w:val="15"/>
          <w:color w:val="auto"/>
        </w:rPr>
      </w:pPr>
    </w:p>
    <w:p>
      <w:pPr>
        <w:ind w:left="1120" w:hanging="314"/>
        <w:spacing w:after="0" w:line="250" w:lineRule="auto"/>
        <w:tabs>
          <w:tab w:leader="none" w:pos="1134"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Comprehensive Income (Unaudited) for the Three and Nine Months Ended September 30, 2012 and October 2, 2011</w:t>
      </w:r>
    </w:p>
    <w:p>
      <w:pPr>
        <w:spacing w:after="0" w:line="323" w:lineRule="exact"/>
        <w:rPr>
          <w:rFonts w:ascii="Arial" w:cs="Arial" w:eastAsia="Arial" w:hAnsi="Arial"/>
          <w:sz w:val="15"/>
          <w:szCs w:val="15"/>
          <w:color w:val="auto"/>
        </w:rPr>
      </w:pPr>
    </w:p>
    <w:p>
      <w:pPr>
        <w:ind w:left="1180" w:hanging="374"/>
        <w:spacing w:after="0"/>
        <w:tabs>
          <w:tab w:leader="none" w:pos="118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Balance Sheets at September 30, 2012 (Unaudited) and December 31, 2011</w:t>
      </w:r>
    </w:p>
    <w:p>
      <w:pPr>
        <w:spacing w:after="0" w:line="336" w:lineRule="exact"/>
        <w:rPr>
          <w:rFonts w:ascii="Arial" w:cs="Arial" w:eastAsia="Arial" w:hAnsi="Arial"/>
          <w:sz w:val="15"/>
          <w:szCs w:val="15"/>
          <w:color w:val="auto"/>
        </w:rPr>
      </w:pPr>
    </w:p>
    <w:p>
      <w:pPr>
        <w:ind w:left="1140" w:hanging="334"/>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Condensed Consolidated Statements of Cash Flows (Unaudited) for the Nine Months Ended September 30, 2012 and October 2, 2011</w:t>
      </w:r>
    </w:p>
    <w:p>
      <w:pPr>
        <w:spacing w:after="0" w:line="336" w:lineRule="exact"/>
        <w:rPr>
          <w:rFonts w:ascii="Arial" w:cs="Arial" w:eastAsia="Arial" w:hAnsi="Arial"/>
          <w:sz w:val="15"/>
          <w:szCs w:val="15"/>
          <w:color w:val="auto"/>
        </w:rPr>
      </w:pPr>
    </w:p>
    <w:p>
      <w:pPr>
        <w:ind w:left="1140" w:hanging="334"/>
        <w:spacing w:after="0"/>
        <w:tabs>
          <w:tab w:leader="none" w:pos="1140" w:val="left"/>
        </w:tabs>
        <w:numPr>
          <w:ilvl w:val="0"/>
          <w:numId w:val="2"/>
        </w:numPr>
        <w:rPr>
          <w:rFonts w:ascii="Arial" w:cs="Arial" w:eastAsia="Arial" w:hAnsi="Arial"/>
          <w:sz w:val="15"/>
          <w:szCs w:val="15"/>
          <w:color w:val="auto"/>
        </w:rPr>
      </w:pPr>
      <w:r>
        <w:rPr>
          <w:rFonts w:ascii="Arial" w:cs="Arial" w:eastAsia="Arial" w:hAnsi="Arial"/>
          <w:sz w:val="15"/>
          <w:szCs w:val="15"/>
          <w:color w:val="auto"/>
        </w:rPr>
        <w:t>Notes to Condensed Consolidated Financial Statements (Unaudited)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60" w:type="dxa"/>
            <w:vAlign w:val="bottom"/>
          </w:tcPr>
          <w:p>
            <w:pPr>
              <w:spacing w:after="0"/>
              <w:rPr>
                <w:sz w:val="20"/>
                <w:szCs w:val="20"/>
                <w:color w:val="auto"/>
              </w:rPr>
            </w:pPr>
            <w:r>
              <w:rPr>
                <w:rFonts w:ascii="Arial" w:cs="Arial" w:eastAsia="Arial" w:hAnsi="Arial"/>
                <w:sz w:val="15"/>
                <w:szCs w:val="15"/>
                <w:color w:val="auto"/>
              </w:rPr>
              <w:t>Item 2.</w:t>
            </w:r>
          </w:p>
        </w:tc>
        <w:tc>
          <w:tcPr>
            <w:tcW w:w="5900" w:type="dxa"/>
            <w:vAlign w:val="bottom"/>
          </w:tcPr>
          <w:p>
            <w:pPr>
              <w:ind w:left="40"/>
              <w:spacing w:after="0"/>
              <w:rPr>
                <w:sz w:val="20"/>
                <w:szCs w:val="20"/>
                <w:color w:val="auto"/>
              </w:rPr>
            </w:pPr>
            <w:r>
              <w:rPr>
                <w:rFonts w:ascii="Arial" w:cs="Arial" w:eastAsia="Arial" w:hAnsi="Arial"/>
                <w:sz w:val="15"/>
                <w:szCs w:val="15"/>
                <w:color w:val="auto"/>
                <w:w w:val="98"/>
              </w:rPr>
              <w:t>Management’s Discussion and Analysis of Results of Operations and Financial Condition</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3.</w:t>
            </w:r>
          </w:p>
        </w:tc>
        <w:tc>
          <w:tcPr>
            <w:tcW w:w="5900" w:type="dxa"/>
            <w:vAlign w:val="bottom"/>
          </w:tcPr>
          <w:p>
            <w:pPr>
              <w:ind w:left="40"/>
              <w:spacing w:after="0"/>
              <w:rPr>
                <w:sz w:val="20"/>
                <w:szCs w:val="20"/>
                <w:color w:val="auto"/>
              </w:rPr>
            </w:pPr>
            <w:r>
              <w:rPr>
                <w:rFonts w:ascii="Arial" w:cs="Arial" w:eastAsia="Arial" w:hAnsi="Arial"/>
                <w:sz w:val="15"/>
                <w:szCs w:val="15"/>
                <w:color w:val="auto"/>
              </w:rPr>
              <w:t>Quantitative and Qualitative Disclosures about Market Risk</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4.</w:t>
            </w:r>
          </w:p>
        </w:tc>
        <w:tc>
          <w:tcPr>
            <w:tcW w:w="5900" w:type="dxa"/>
            <w:vAlign w:val="bottom"/>
          </w:tcPr>
          <w:p>
            <w:pPr>
              <w:ind w:left="40"/>
              <w:spacing w:after="0"/>
              <w:rPr>
                <w:sz w:val="20"/>
                <w:szCs w:val="20"/>
                <w:color w:val="auto"/>
              </w:rPr>
            </w:pPr>
            <w:r>
              <w:rPr>
                <w:rFonts w:ascii="Arial" w:cs="Arial" w:eastAsia="Arial" w:hAnsi="Arial"/>
                <w:sz w:val="15"/>
                <w:szCs w:val="15"/>
                <w:color w:val="auto"/>
              </w:rPr>
              <w:t>Controls and Procedures</w:t>
            </w:r>
          </w:p>
        </w:tc>
      </w:tr>
      <w:tr>
        <w:trPr>
          <w:trHeight w:val="347"/>
        </w:trPr>
        <w:tc>
          <w:tcPr>
            <w:tcW w:w="6660" w:type="dxa"/>
            <w:vAlign w:val="bottom"/>
            <w:gridSpan w:val="2"/>
          </w:tcPr>
          <w:p>
            <w:pPr>
              <w:spacing w:after="0"/>
              <w:rPr>
                <w:sz w:val="20"/>
                <w:szCs w:val="20"/>
                <w:color w:val="auto"/>
              </w:rPr>
            </w:pPr>
            <w:r>
              <w:rPr>
                <w:rFonts w:ascii="Arial" w:cs="Arial" w:eastAsia="Arial" w:hAnsi="Arial"/>
                <w:sz w:val="15"/>
                <w:szCs w:val="15"/>
                <w:color w:val="auto"/>
              </w:rPr>
              <w:t>PART II. OTHER INFORMATION</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2.</w:t>
            </w:r>
          </w:p>
        </w:tc>
        <w:tc>
          <w:tcPr>
            <w:tcW w:w="5900" w:type="dxa"/>
            <w:vAlign w:val="bottom"/>
          </w:tcPr>
          <w:p>
            <w:pPr>
              <w:ind w:left="40"/>
              <w:spacing w:after="0"/>
              <w:rPr>
                <w:sz w:val="20"/>
                <w:szCs w:val="20"/>
                <w:color w:val="auto"/>
              </w:rPr>
            </w:pPr>
            <w:r>
              <w:rPr>
                <w:rFonts w:ascii="Arial" w:cs="Arial" w:eastAsia="Arial" w:hAnsi="Arial"/>
                <w:sz w:val="15"/>
                <w:szCs w:val="15"/>
                <w:color w:val="auto"/>
              </w:rPr>
              <w:t>Unregistered Sales of Equity Securities and Use of Proceeds</w:t>
            </w:r>
          </w:p>
        </w:tc>
      </w:tr>
      <w:tr>
        <w:trPr>
          <w:trHeight w:val="360"/>
        </w:trPr>
        <w:tc>
          <w:tcPr>
            <w:tcW w:w="760" w:type="dxa"/>
            <w:vAlign w:val="bottom"/>
          </w:tcPr>
          <w:p>
            <w:pPr>
              <w:spacing w:after="0"/>
              <w:rPr>
                <w:sz w:val="20"/>
                <w:szCs w:val="20"/>
                <w:color w:val="auto"/>
              </w:rPr>
            </w:pPr>
            <w:r>
              <w:rPr>
                <w:rFonts w:ascii="Arial" w:cs="Arial" w:eastAsia="Arial" w:hAnsi="Arial"/>
                <w:sz w:val="15"/>
                <w:szCs w:val="15"/>
                <w:color w:val="auto"/>
              </w:rPr>
              <w:t>Item 6.</w:t>
            </w:r>
          </w:p>
        </w:tc>
        <w:tc>
          <w:tcPr>
            <w:tcW w:w="5900" w:type="dxa"/>
            <w:vAlign w:val="bottom"/>
          </w:tcPr>
          <w:p>
            <w:pPr>
              <w:ind w:left="40"/>
              <w:spacing w:after="0"/>
              <w:rPr>
                <w:sz w:val="20"/>
                <w:szCs w:val="20"/>
                <w:color w:val="auto"/>
              </w:rPr>
            </w:pPr>
            <w:r>
              <w:rPr>
                <w:rFonts w:ascii="Arial" w:cs="Arial" w:eastAsia="Arial" w:hAnsi="Arial"/>
                <w:sz w:val="15"/>
                <w:szCs w:val="15"/>
                <w:color w:val="auto"/>
              </w:rPr>
              <w:t>Exhibits</w:t>
            </w:r>
          </w:p>
        </w:tc>
      </w:tr>
      <w:tr>
        <w:trPr>
          <w:trHeight w:val="347"/>
        </w:trPr>
        <w:tc>
          <w:tcPr>
            <w:tcW w:w="760" w:type="dxa"/>
            <w:vAlign w:val="bottom"/>
          </w:tcPr>
          <w:p>
            <w:pPr>
              <w:spacing w:after="0"/>
              <w:rPr>
                <w:sz w:val="20"/>
                <w:szCs w:val="20"/>
                <w:color w:val="auto"/>
              </w:rPr>
            </w:pPr>
            <w:r>
              <w:rPr>
                <w:rFonts w:ascii="Arial" w:cs="Arial" w:eastAsia="Arial" w:hAnsi="Arial"/>
                <w:sz w:val="15"/>
                <w:szCs w:val="15"/>
                <w:color w:val="auto"/>
              </w:rPr>
              <w:t>Signatures</w:t>
            </w:r>
          </w:p>
        </w:tc>
        <w:tc>
          <w:tcPr>
            <w:tcW w:w="5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458470</wp:posOffset>
            </wp:positionV>
            <wp:extent cx="727837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w:t>
      </w: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5"/>
          <w:szCs w:val="15"/>
          <w:color w:val="auto"/>
        </w:rPr>
        <w:t>2</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3</w:t>
      </w:r>
    </w:p>
    <w:p>
      <w:pPr>
        <w:spacing w:after="0" w:line="33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4</w:t>
      </w:r>
    </w:p>
    <w:p>
      <w:pPr>
        <w:spacing w:after="0" w:line="3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5</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22</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30</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auto"/>
        </w:rPr>
        <w:t>31</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32</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color w:val="auto"/>
        </w:rPr>
        <w:t>33</w:t>
      </w:r>
    </w:p>
    <w:p>
      <w:pPr>
        <w:sectPr>
          <w:pgSz w:w="11900" w:h="16838" w:orient="portrait"/>
          <w:cols w:equalWidth="0" w:num="2">
            <w:col w:w="10420" w:space="600"/>
            <w:col w:w="160"/>
          </w:cols>
          <w:pgMar w:left="240" w:top="789"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02"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WASHINGTON POST COMPANY</w:t>
      </w:r>
    </w:p>
    <w:p>
      <w:pPr>
        <w:jc w:val="center"/>
        <w:spacing w:after="0"/>
        <w:rPr>
          <w:sz w:val="20"/>
          <w:szCs w:val="20"/>
          <w:color w:val="auto"/>
        </w:rPr>
      </w:pPr>
      <w:r>
        <w:rPr>
          <w:rFonts w:ascii="Arial" w:cs="Arial" w:eastAsia="Arial" w:hAnsi="Arial"/>
          <w:sz w:val="17"/>
          <w:szCs w:val="17"/>
          <w:b w:val="1"/>
          <w:bCs w:val="1"/>
          <w:color w:val="auto"/>
        </w:rPr>
        <w:t>CONDENSED CONSOLIDATED STATEMENTS OF OPERATIONS (UNAUDITED)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0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gridSpan w:val="3"/>
          </w:tcPr>
          <w:p>
            <w:pPr>
              <w:jc w:val="right"/>
              <w:ind w:right="726"/>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626"/>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14"/>
        </w:trPr>
        <w:tc>
          <w:tcPr>
            <w:tcW w:w="6080" w:type="dxa"/>
            <w:vAlign w:val="bottom"/>
          </w:tcPr>
          <w:p>
            <w:pPr>
              <w:spacing w:after="0"/>
              <w:rPr>
                <w:sz w:val="9"/>
                <w:szCs w:val="9"/>
                <w:color w:val="auto"/>
              </w:rPr>
            </w:pPr>
          </w:p>
        </w:tc>
        <w:tc>
          <w:tcPr>
            <w:tcW w:w="1380" w:type="dxa"/>
            <w:vAlign w:val="bottom"/>
            <w:gridSpan w:val="2"/>
          </w:tcPr>
          <w:p>
            <w:pPr>
              <w:jc w:val="right"/>
              <w:ind w:right="246"/>
              <w:spacing w:after="0" w:line="114" w:lineRule="exact"/>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9"/>
                <w:szCs w:val="9"/>
                <w:color w:val="auto"/>
              </w:rPr>
            </w:pPr>
          </w:p>
        </w:tc>
        <w:tc>
          <w:tcPr>
            <w:tcW w:w="1060" w:type="dxa"/>
            <w:vAlign w:val="bottom"/>
          </w:tcPr>
          <w:p>
            <w:pPr>
              <w:jc w:val="right"/>
              <w:ind w:right="366"/>
              <w:spacing w:after="0" w:line="114" w:lineRule="exact"/>
              <w:rPr>
                <w:sz w:val="20"/>
                <w:szCs w:val="20"/>
                <w:color w:val="auto"/>
              </w:rPr>
            </w:pPr>
            <w:r>
              <w:rPr>
                <w:rFonts w:ascii="Arial" w:cs="Arial" w:eastAsia="Arial" w:hAnsi="Arial"/>
                <w:sz w:val="12"/>
                <w:szCs w:val="12"/>
                <w:color w:val="auto"/>
              </w:rPr>
              <w:t>October 2,</w:t>
            </w:r>
          </w:p>
        </w:tc>
        <w:tc>
          <w:tcPr>
            <w:tcW w:w="1360" w:type="dxa"/>
            <w:vAlign w:val="bottom"/>
            <w:gridSpan w:val="2"/>
          </w:tcPr>
          <w:p>
            <w:pPr>
              <w:jc w:val="right"/>
              <w:ind w:right="226"/>
              <w:spacing w:after="0" w:line="114"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9"/>
                <w:szCs w:val="9"/>
                <w:color w:val="auto"/>
              </w:rPr>
            </w:pPr>
          </w:p>
        </w:tc>
        <w:tc>
          <w:tcPr>
            <w:tcW w:w="960" w:type="dxa"/>
            <w:vAlign w:val="bottom"/>
          </w:tcPr>
          <w:p>
            <w:pPr>
              <w:jc w:val="right"/>
              <w:ind w:right="246"/>
              <w:spacing w:after="0" w:line="114" w:lineRule="exact"/>
              <w:rPr>
                <w:sz w:val="20"/>
                <w:szCs w:val="20"/>
                <w:color w:val="auto"/>
              </w:rPr>
            </w:pPr>
            <w:r>
              <w:rPr>
                <w:rFonts w:ascii="Arial" w:cs="Arial" w:eastAsia="Arial" w:hAnsi="Arial"/>
                <w:sz w:val="12"/>
                <w:szCs w:val="12"/>
                <w:color w:val="auto"/>
              </w:rPr>
              <w:t>October 2,</w:t>
            </w:r>
          </w:p>
        </w:tc>
        <w:tc>
          <w:tcPr>
            <w:tcW w:w="0" w:type="dxa"/>
            <w:vAlign w:val="bottom"/>
          </w:tcPr>
          <w:p>
            <w:pPr>
              <w:spacing w:after="0"/>
              <w:rPr>
                <w:sz w:val="1"/>
                <w:szCs w:val="1"/>
                <w:color w:val="auto"/>
              </w:rPr>
            </w:pPr>
          </w:p>
        </w:tc>
      </w:tr>
      <w:tr>
        <w:trPr>
          <w:trHeight w:val="151"/>
        </w:trPr>
        <w:tc>
          <w:tcPr>
            <w:tcW w:w="60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b w:val="1"/>
                <w:bCs w:val="1"/>
                <w:color w:val="auto"/>
              </w:rPr>
              <w:t>2012</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3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3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552,585</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601,611</w:t>
            </w:r>
          </w:p>
        </w:tc>
        <w:tc>
          <w:tcPr>
            <w:tcW w:w="3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1,652,067</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1,823,696</w:t>
            </w: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Advertising</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195,158</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170,552</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555,994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541,289</w:t>
            </w: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Circulation and Subscriber</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220,668</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212,145</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655,184</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643,274</w:t>
            </w:r>
          </w:p>
        </w:tc>
        <w:tc>
          <w:tcPr>
            <w:tcW w:w="0" w:type="dxa"/>
            <w:vAlign w:val="bottom"/>
          </w:tcPr>
          <w:p>
            <w:pPr>
              <w:spacing w:after="0"/>
              <w:rPr>
                <w:sz w:val="1"/>
                <w:szCs w:val="1"/>
                <w:color w:val="auto"/>
              </w:rPr>
            </w:pPr>
          </w:p>
        </w:tc>
      </w:tr>
      <w:tr>
        <w:trPr>
          <w:trHeight w:val="192"/>
        </w:trPr>
        <w:tc>
          <w:tcPr>
            <w:tcW w:w="6080" w:type="dxa"/>
            <w:vAlign w:val="bottom"/>
          </w:tcPr>
          <w:p>
            <w:pPr>
              <w:ind w:left="240"/>
              <w:spacing w:after="0"/>
              <w:rPr>
                <w:sz w:val="20"/>
                <w:szCs w:val="20"/>
                <w:color w:val="auto"/>
              </w:rPr>
            </w:pPr>
            <w:r>
              <w:rPr>
                <w:rFonts w:ascii="Arial" w:cs="Arial" w:eastAsia="Arial" w:hAnsi="Arial"/>
                <w:sz w:val="15"/>
                <w:szCs w:val="15"/>
                <w:color w:val="auto"/>
              </w:rPr>
              <w:t>Other</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42,923</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28,190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104,312</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82,465</w:t>
            </w: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1,011,334</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1,012,498</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2,967,557</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3,090,724</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b w:val="1"/>
                <w:bCs w:val="1"/>
                <w:color w:val="auto"/>
              </w:rPr>
              <w:t>Operating Costs and Expenses</w:t>
            </w:r>
          </w:p>
        </w:tc>
        <w:tc>
          <w:tcPr>
            <w:tcW w:w="360" w:type="dxa"/>
            <w:vAlign w:val="bottom"/>
          </w:tcPr>
          <w:p>
            <w:pPr>
              <w:spacing w:after="0"/>
              <w:rPr>
                <w:sz w:val="16"/>
                <w:szCs w:val="16"/>
                <w:color w:val="auto"/>
              </w:rPr>
            </w:pPr>
          </w:p>
        </w:tc>
        <w:tc>
          <w:tcPr>
            <w:tcW w:w="10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483,622</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1,411,343</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36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486,615</w:t>
            </w:r>
          </w:p>
        </w:tc>
        <w:tc>
          <w:tcPr>
            <w:tcW w:w="36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1,438,495</w:t>
            </w: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Selling, general and administrative</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382,961</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387,735</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1,195,103</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1,232,208</w:t>
            </w: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Depreciation of property, plant and equipment</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63,739</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61,589</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188,763</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186,133</w:t>
            </w:r>
          </w:p>
        </w:tc>
        <w:tc>
          <w:tcPr>
            <w:tcW w:w="0" w:type="dxa"/>
            <w:vAlign w:val="bottom"/>
          </w:tcPr>
          <w:p>
            <w:pPr>
              <w:spacing w:after="0"/>
              <w:rPr>
                <w:sz w:val="1"/>
                <w:szCs w:val="1"/>
                <w:color w:val="auto"/>
              </w:rPr>
            </w:pPr>
          </w:p>
        </w:tc>
      </w:tr>
      <w:tr>
        <w:trPr>
          <w:trHeight w:val="192"/>
        </w:trPr>
        <w:tc>
          <w:tcPr>
            <w:tcW w:w="6080" w:type="dxa"/>
            <w:vAlign w:val="bottom"/>
          </w:tcPr>
          <w:p>
            <w:pPr>
              <w:ind w:left="24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5,091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6,320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13,392</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17,293</w:t>
            </w:r>
          </w:p>
        </w:tc>
        <w:tc>
          <w:tcPr>
            <w:tcW w:w="0" w:type="dxa"/>
            <w:vAlign w:val="bottom"/>
          </w:tcPr>
          <w:p>
            <w:pPr>
              <w:spacing w:after="0"/>
              <w:rPr>
                <w:sz w:val="1"/>
                <w:szCs w:val="1"/>
                <w:color w:val="auto"/>
              </w:rPr>
            </w:pPr>
          </w:p>
        </w:tc>
      </w:tr>
      <w:tr>
        <w:trPr>
          <w:trHeight w:val="179"/>
        </w:trPr>
        <w:tc>
          <w:tcPr>
            <w:tcW w:w="60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935,413</w:t>
            </w: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942,259</w:t>
            </w: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2,808,601</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2,874,129</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from Operations</w:t>
            </w:r>
          </w:p>
        </w:tc>
        <w:tc>
          <w:tcPr>
            <w:tcW w:w="360" w:type="dxa"/>
            <w:vAlign w:val="bottom"/>
          </w:tcPr>
          <w:p>
            <w:pPr>
              <w:spacing w:after="0"/>
              <w:rPr>
                <w:sz w:val="16"/>
                <w:szCs w:val="16"/>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75,921</w:t>
            </w:r>
          </w:p>
        </w:tc>
        <w:tc>
          <w:tcPr>
            <w:tcW w:w="300" w:type="dxa"/>
            <w:vAlign w:val="bottom"/>
          </w:tcPr>
          <w:p>
            <w:pPr>
              <w:spacing w:after="0"/>
              <w:rPr>
                <w:sz w:val="16"/>
                <w:szCs w:val="16"/>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70,239</w:t>
            </w:r>
          </w:p>
        </w:tc>
        <w:tc>
          <w:tcPr>
            <w:tcW w:w="36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158,956</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216,595</w:t>
            </w:r>
          </w:p>
        </w:tc>
        <w:tc>
          <w:tcPr>
            <w:tcW w:w="0" w:type="dxa"/>
            <w:vAlign w:val="bottom"/>
          </w:tcPr>
          <w:p>
            <w:pPr>
              <w:spacing w:after="0"/>
              <w:rPr>
                <w:sz w:val="1"/>
                <w:szCs w:val="1"/>
                <w:color w:val="auto"/>
              </w:rPr>
            </w:pPr>
          </w:p>
        </w:tc>
      </w:tr>
      <w:tr>
        <w:trPr>
          <w:trHeight w:val="197"/>
        </w:trPr>
        <w:tc>
          <w:tcPr>
            <w:tcW w:w="6080" w:type="dxa"/>
            <w:vAlign w:val="bottom"/>
          </w:tcPr>
          <w:p>
            <w:pPr>
              <w:ind w:left="240"/>
              <w:spacing w:after="0"/>
              <w:rPr>
                <w:sz w:val="20"/>
                <w:szCs w:val="20"/>
                <w:color w:val="auto"/>
              </w:rPr>
            </w:pPr>
            <w:r>
              <w:rPr>
                <w:rFonts w:ascii="Arial" w:cs="Arial" w:eastAsia="Arial" w:hAnsi="Arial"/>
                <w:sz w:val="15"/>
                <w:szCs w:val="15"/>
                <w:color w:val="auto"/>
              </w:rPr>
              <w:t>Equity in earnings (losses) of affiliates, net</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4,099</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(1,494)</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11,301</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5,381</w:t>
            </w: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648</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994</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2,492</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2,973</w:t>
            </w: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color w:val="auto"/>
              </w:rPr>
              <w:t>Interest expense</w:t>
            </w:r>
          </w:p>
        </w:tc>
        <w:tc>
          <w:tcPr>
            <w:tcW w:w="360" w:type="dxa"/>
            <w:vAlign w:val="bottom"/>
          </w:tcPr>
          <w:p>
            <w:pPr>
              <w:spacing w:after="0"/>
              <w:rPr>
                <w:sz w:val="17"/>
                <w:szCs w:val="17"/>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(8,738)</w:t>
            </w:r>
          </w:p>
        </w:tc>
        <w:tc>
          <w:tcPr>
            <w:tcW w:w="300" w:type="dxa"/>
            <w:vAlign w:val="bottom"/>
          </w:tcPr>
          <w:p>
            <w:pPr>
              <w:spacing w:after="0"/>
              <w:rPr>
                <w:sz w:val="17"/>
                <w:szCs w:val="17"/>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(8,667)</w:t>
            </w:r>
          </w:p>
        </w:tc>
        <w:tc>
          <w:tcPr>
            <w:tcW w:w="360" w:type="dxa"/>
            <w:vAlign w:val="bottom"/>
          </w:tcPr>
          <w:p>
            <w:pPr>
              <w:spacing w:after="0"/>
              <w:rPr>
                <w:sz w:val="17"/>
                <w:szCs w:val="17"/>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(26,880)</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(24,588)</w:t>
            </w:r>
          </w:p>
        </w:tc>
        <w:tc>
          <w:tcPr>
            <w:tcW w:w="0" w:type="dxa"/>
            <w:vAlign w:val="bottom"/>
          </w:tcPr>
          <w:p>
            <w:pPr>
              <w:spacing w:after="0"/>
              <w:rPr>
                <w:sz w:val="1"/>
                <w:szCs w:val="1"/>
                <w:color w:val="auto"/>
              </w:rPr>
            </w:pPr>
          </w:p>
        </w:tc>
      </w:tr>
      <w:tr>
        <w:trPr>
          <w:trHeight w:val="192"/>
        </w:trPr>
        <w:tc>
          <w:tcPr>
            <w:tcW w:w="6080" w:type="dxa"/>
            <w:vAlign w:val="bottom"/>
          </w:tcPr>
          <w:p>
            <w:pPr>
              <w:ind w:left="240"/>
              <w:spacing w:after="0"/>
              <w:rPr>
                <w:sz w:val="20"/>
                <w:szCs w:val="20"/>
                <w:color w:val="auto"/>
              </w:rPr>
            </w:pPr>
            <w:r>
              <w:rPr>
                <w:rFonts w:ascii="Arial" w:cs="Arial" w:eastAsia="Arial" w:hAnsi="Arial"/>
                <w:sz w:val="15"/>
                <w:szCs w:val="15"/>
                <w:color w:val="auto"/>
              </w:rPr>
              <w:t>Other income (expense), net</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4,163</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(29,650)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12,116</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(56,273)</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360" w:type="dxa"/>
            <w:vAlign w:val="bottom"/>
          </w:tcPr>
          <w:p>
            <w:pPr>
              <w:spacing w:after="0"/>
              <w:rPr>
                <w:sz w:val="16"/>
                <w:szCs w:val="16"/>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76,093</w:t>
            </w:r>
          </w:p>
        </w:tc>
        <w:tc>
          <w:tcPr>
            <w:tcW w:w="300" w:type="dxa"/>
            <w:vAlign w:val="bottom"/>
          </w:tcPr>
          <w:p>
            <w:pPr>
              <w:spacing w:after="0"/>
              <w:rPr>
                <w:sz w:val="16"/>
                <w:szCs w:val="16"/>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31,422</w:t>
            </w:r>
          </w:p>
        </w:tc>
        <w:tc>
          <w:tcPr>
            <w:tcW w:w="36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157,985</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144,088</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31,200</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18,600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63,600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59,900</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w:t>
            </w:r>
          </w:p>
        </w:tc>
        <w:tc>
          <w:tcPr>
            <w:tcW w:w="360" w:type="dxa"/>
            <w:vAlign w:val="bottom"/>
          </w:tcPr>
          <w:p>
            <w:pPr>
              <w:spacing w:after="0"/>
              <w:rPr>
                <w:sz w:val="16"/>
                <w:szCs w:val="16"/>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44,893</w:t>
            </w:r>
          </w:p>
        </w:tc>
        <w:tc>
          <w:tcPr>
            <w:tcW w:w="300" w:type="dxa"/>
            <w:vAlign w:val="bottom"/>
          </w:tcPr>
          <w:p>
            <w:pPr>
              <w:spacing w:after="0"/>
              <w:rPr>
                <w:sz w:val="16"/>
                <w:szCs w:val="16"/>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12,822</w:t>
            </w:r>
          </w:p>
        </w:tc>
        <w:tc>
          <w:tcPr>
            <w:tcW w:w="36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94,385</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84,188</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Income (Loss) from Discontinued Operations, Net of Tax</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49,054</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(18,788)</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83,177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(28,762)</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 (Loss)</w:t>
            </w:r>
          </w:p>
        </w:tc>
        <w:tc>
          <w:tcPr>
            <w:tcW w:w="360" w:type="dxa"/>
            <w:vAlign w:val="bottom"/>
          </w:tcPr>
          <w:p>
            <w:pPr>
              <w:spacing w:after="0"/>
              <w:rPr>
                <w:sz w:val="16"/>
                <w:szCs w:val="16"/>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93,947</w:t>
            </w:r>
          </w:p>
        </w:tc>
        <w:tc>
          <w:tcPr>
            <w:tcW w:w="300" w:type="dxa"/>
            <w:vAlign w:val="bottom"/>
          </w:tcPr>
          <w:p>
            <w:pPr>
              <w:spacing w:after="0"/>
              <w:rPr>
                <w:sz w:val="16"/>
                <w:szCs w:val="16"/>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(5,966)</w:t>
            </w:r>
          </w:p>
        </w:tc>
        <w:tc>
          <w:tcPr>
            <w:tcW w:w="36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177,562</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55,426</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Net Loss (Income) Attributable to Noncontrolling Interests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71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(16)</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 (Loss) Attributable to The Washington Post Company</w:t>
            </w:r>
          </w:p>
        </w:tc>
        <w:tc>
          <w:tcPr>
            <w:tcW w:w="360" w:type="dxa"/>
            <w:vAlign w:val="bottom"/>
          </w:tcPr>
          <w:p>
            <w:pPr>
              <w:spacing w:after="0"/>
              <w:rPr>
                <w:sz w:val="16"/>
                <w:szCs w:val="16"/>
                <w:color w:val="auto"/>
              </w:rPr>
            </w:pP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94,018</w:t>
            </w:r>
          </w:p>
        </w:tc>
        <w:tc>
          <w:tcPr>
            <w:tcW w:w="300" w:type="dxa"/>
            <w:vAlign w:val="bottom"/>
          </w:tcPr>
          <w:p>
            <w:pPr>
              <w:spacing w:after="0"/>
              <w:rPr>
                <w:sz w:val="16"/>
                <w:szCs w:val="16"/>
                <w:color w:val="auto"/>
              </w:rPr>
            </w:pP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(5,982)</w:t>
            </w:r>
          </w:p>
        </w:tc>
        <w:tc>
          <w:tcPr>
            <w:tcW w:w="360" w:type="dxa"/>
            <w:vAlign w:val="bottom"/>
          </w:tcPr>
          <w:p>
            <w:pPr>
              <w:spacing w:after="0"/>
              <w:rPr>
                <w:sz w:val="16"/>
                <w:szCs w:val="16"/>
                <w:color w:val="auto"/>
              </w:rPr>
            </w:pP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177,552</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55,436</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(222)</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(226)</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(895)</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(917)</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b w:val="1"/>
                <w:bCs w:val="1"/>
                <w:color w:val="auto"/>
              </w:rPr>
              <w:t>Net Income (Loss) Attributable to The Washington Post</w:t>
            </w:r>
          </w:p>
        </w:tc>
        <w:tc>
          <w:tcPr>
            <w:tcW w:w="36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93,796</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176,657</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ind w:left="240"/>
              <w:spacing w:after="0"/>
              <w:rPr>
                <w:sz w:val="20"/>
                <w:szCs w:val="20"/>
                <w:color w:val="auto"/>
              </w:rPr>
            </w:pPr>
            <w:r>
              <w:rPr>
                <w:rFonts w:ascii="Arial" w:cs="Arial" w:eastAsia="Arial" w:hAnsi="Arial"/>
                <w:sz w:val="15"/>
                <w:szCs w:val="15"/>
                <w:b w:val="1"/>
                <w:bCs w:val="1"/>
                <w:color w:val="auto"/>
              </w:rPr>
              <w:t>Company Common Stockholders</w:t>
            </w:r>
          </w:p>
        </w:tc>
        <w:tc>
          <w:tcPr>
            <w:tcW w:w="3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(6,208)</w:t>
            </w:r>
          </w:p>
        </w:tc>
        <w:tc>
          <w:tcPr>
            <w:tcW w:w="3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54,519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b w:val="1"/>
                <w:bCs w:val="1"/>
                <w:color w:val="auto"/>
              </w:rPr>
              <w:t>Common Stockholders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3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44,742</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12,580</w:t>
            </w:r>
          </w:p>
        </w:tc>
        <w:tc>
          <w:tcPr>
            <w:tcW w:w="3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93,480</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83,281</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5"/>
                <w:szCs w:val="15"/>
                <w:color w:val="auto"/>
              </w:rPr>
              <w:t>Income (loss) from discontinued operations, net of tax</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49,054</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(18,788)</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83,177</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(28,762)</w:t>
            </w:r>
          </w:p>
        </w:tc>
        <w:tc>
          <w:tcPr>
            <w:tcW w:w="0" w:type="dxa"/>
            <w:vAlign w:val="bottom"/>
          </w:tcPr>
          <w:p>
            <w:pPr>
              <w:spacing w:after="0"/>
              <w:rPr>
                <w:sz w:val="1"/>
                <w:szCs w:val="1"/>
                <w:color w:val="auto"/>
              </w:rPr>
            </w:pPr>
          </w:p>
        </w:tc>
      </w:tr>
      <w:tr>
        <w:trPr>
          <w:trHeight w:val="185"/>
        </w:trPr>
        <w:tc>
          <w:tcPr>
            <w:tcW w:w="6080" w:type="dxa"/>
            <w:vAlign w:val="bottom"/>
          </w:tcPr>
          <w:p>
            <w:pPr>
              <w:spacing w:after="0"/>
              <w:rPr>
                <w:sz w:val="20"/>
                <w:szCs w:val="20"/>
                <w:color w:val="auto"/>
              </w:rPr>
            </w:pPr>
            <w:r>
              <w:rPr>
                <w:rFonts w:ascii="Arial" w:cs="Arial" w:eastAsia="Arial" w:hAnsi="Arial"/>
                <w:sz w:val="15"/>
                <w:szCs w:val="15"/>
                <w:color w:val="auto"/>
              </w:rPr>
              <w:t>Net income (loss) attributable to The Washington Post Company</w:t>
            </w:r>
          </w:p>
        </w:tc>
        <w:tc>
          <w:tcPr>
            <w:tcW w:w="36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w:t>
            </w:r>
          </w:p>
        </w:tc>
        <w:tc>
          <w:tcPr>
            <w:tcW w:w="1020" w:type="dxa"/>
            <w:vAlign w:val="bottom"/>
            <w:vMerge w:val="restart"/>
          </w:tcPr>
          <w:p>
            <w:pPr>
              <w:jc w:val="right"/>
              <w:ind w:right="86"/>
              <w:spacing w:after="0"/>
              <w:rPr>
                <w:sz w:val="20"/>
                <w:szCs w:val="20"/>
                <w:color w:val="auto"/>
              </w:rPr>
            </w:pPr>
            <w:r>
              <w:rPr>
                <w:rFonts w:ascii="Arial" w:cs="Arial" w:eastAsia="Arial" w:hAnsi="Arial"/>
                <w:sz w:val="15"/>
                <w:szCs w:val="15"/>
                <w:b w:val="1"/>
                <w:bCs w:val="1"/>
                <w:color w:val="auto"/>
              </w:rPr>
              <w:t>93,796</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60" w:type="dxa"/>
            <w:vAlign w:val="bottom"/>
            <w:vMerge w:val="restart"/>
          </w:tcPr>
          <w:p>
            <w:pPr>
              <w:jc w:val="right"/>
              <w:ind w:right="47"/>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6"/>
              <w:spacing w:after="0"/>
              <w:rPr>
                <w:sz w:val="20"/>
                <w:szCs w:val="20"/>
                <w:color w:val="auto"/>
              </w:rPr>
            </w:pPr>
            <w:r>
              <w:rPr>
                <w:rFonts w:ascii="Arial" w:cs="Arial" w:eastAsia="Arial" w:hAnsi="Arial"/>
                <w:sz w:val="15"/>
                <w:szCs w:val="15"/>
                <w:b w:val="1"/>
                <w:bCs w:val="1"/>
                <w:color w:val="auto"/>
              </w:rPr>
              <w:t>176,657</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6080" w:type="dxa"/>
            <w:vAlign w:val="bottom"/>
          </w:tcPr>
          <w:p>
            <w:pPr>
              <w:ind w:left="240"/>
              <w:spacing w:after="0"/>
              <w:rPr>
                <w:sz w:val="20"/>
                <w:szCs w:val="20"/>
                <w:color w:val="auto"/>
              </w:rPr>
            </w:pPr>
            <w:r>
              <w:rPr>
                <w:rFonts w:ascii="Arial" w:cs="Arial" w:eastAsia="Arial" w:hAnsi="Arial"/>
                <w:sz w:val="15"/>
                <w:szCs w:val="15"/>
                <w:color w:val="auto"/>
              </w:rPr>
              <w:t>common stockholders</w:t>
            </w:r>
          </w:p>
        </w:tc>
        <w:tc>
          <w:tcPr>
            <w:tcW w:w="3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(6,208)</w:t>
            </w:r>
          </w:p>
        </w:tc>
        <w:tc>
          <w:tcPr>
            <w:tcW w:w="36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54,519</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60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9"/>
        </w:trPr>
        <w:tc>
          <w:tcPr>
            <w:tcW w:w="6080" w:type="dxa"/>
            <w:vAlign w:val="bottom"/>
          </w:tcPr>
          <w:p>
            <w:pPr>
              <w:ind w:left="240"/>
              <w:spacing w:after="0"/>
              <w:rPr>
                <w:sz w:val="20"/>
                <w:szCs w:val="20"/>
                <w:color w:val="auto"/>
              </w:rPr>
            </w:pPr>
            <w:r>
              <w:rPr>
                <w:rFonts w:ascii="Arial" w:cs="Arial" w:eastAsia="Arial" w:hAnsi="Arial"/>
                <w:sz w:val="15"/>
                <w:szCs w:val="15"/>
                <w:b w:val="1"/>
                <w:bCs w:val="1"/>
                <w:color w:val="auto"/>
              </w:rPr>
              <w:t>Post Company Common Stockholders</w:t>
            </w: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8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86"/>
              <w:spacing w:after="0"/>
              <w:rPr>
                <w:sz w:val="20"/>
                <w:szCs w:val="20"/>
                <w:color w:val="auto"/>
              </w:rPr>
            </w:pPr>
            <w:r>
              <w:rPr>
                <w:rFonts w:ascii="Arial" w:cs="Arial" w:eastAsia="Arial" w:hAnsi="Arial"/>
                <w:sz w:val="15"/>
                <w:szCs w:val="15"/>
                <w:b w:val="1"/>
                <w:bCs w:val="1"/>
                <w:color w:val="auto"/>
              </w:rPr>
              <w:t>6.03</w:t>
            </w:r>
          </w:p>
        </w:tc>
        <w:tc>
          <w:tcPr>
            <w:tcW w:w="300" w:type="dxa"/>
            <w:vAlign w:val="bottom"/>
          </w:tcPr>
          <w:p>
            <w:pPr>
              <w:jc w:val="right"/>
              <w:spacing w:after="0"/>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rPr>
                <w:sz w:val="20"/>
                <w:szCs w:val="20"/>
                <w:color w:val="auto"/>
              </w:rPr>
            </w:pPr>
            <w:r>
              <w:rPr>
                <w:rFonts w:ascii="Arial" w:cs="Arial" w:eastAsia="Arial" w:hAnsi="Arial"/>
                <w:sz w:val="15"/>
                <w:szCs w:val="15"/>
                <w:color w:val="auto"/>
              </w:rPr>
              <w:t>1.59</w:t>
            </w:r>
          </w:p>
        </w:tc>
        <w:tc>
          <w:tcPr>
            <w:tcW w:w="360" w:type="dxa"/>
            <w:vAlign w:val="bottom"/>
          </w:tcPr>
          <w:p>
            <w:pPr>
              <w:jc w:val="right"/>
              <w:ind w:right="47"/>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66"/>
              <w:spacing w:after="0"/>
              <w:rPr>
                <w:sz w:val="20"/>
                <w:szCs w:val="20"/>
                <w:color w:val="auto"/>
              </w:rPr>
            </w:pPr>
            <w:r>
              <w:rPr>
                <w:rFonts w:ascii="Arial" w:cs="Arial" w:eastAsia="Arial" w:hAnsi="Arial"/>
                <w:sz w:val="15"/>
                <w:szCs w:val="15"/>
                <w:b w:val="1"/>
                <w:bCs w:val="1"/>
                <w:color w:val="auto"/>
              </w:rPr>
              <w:t>12.38</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192"/>
        </w:trPr>
        <w:tc>
          <w:tcPr>
            <w:tcW w:w="6080" w:type="dxa"/>
            <w:vAlign w:val="bottom"/>
          </w:tcPr>
          <w:p>
            <w:pPr>
              <w:spacing w:after="0"/>
              <w:rPr>
                <w:sz w:val="20"/>
                <w:szCs w:val="20"/>
                <w:color w:val="auto"/>
              </w:rPr>
            </w:pPr>
            <w:r>
              <w:rPr>
                <w:rFonts w:ascii="Arial" w:cs="Arial" w:eastAsia="Arial" w:hAnsi="Arial"/>
                <w:sz w:val="15"/>
                <w:szCs w:val="15"/>
                <w:color w:val="auto"/>
              </w:rPr>
              <w:t>Basic income (loss) per common share from discontinued operations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6.61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11.01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66"/>
        </w:trPr>
        <w:tc>
          <w:tcPr>
            <w:tcW w:w="6080" w:type="dxa"/>
            <w:vAlign w:val="bottom"/>
          </w:tcPr>
          <w:p>
            <w:pPr>
              <w:spacing w:after="0" w:line="167" w:lineRule="exact"/>
              <w:rPr>
                <w:sz w:val="20"/>
                <w:szCs w:val="20"/>
                <w:color w:val="auto"/>
              </w:rPr>
            </w:pPr>
            <w:r>
              <w:rPr>
                <w:rFonts w:ascii="Arial" w:cs="Arial" w:eastAsia="Arial" w:hAnsi="Arial"/>
                <w:sz w:val="15"/>
                <w:szCs w:val="15"/>
                <w:color w:val="auto"/>
              </w:rPr>
              <w:t>Basic net income (loss) per common share</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12.64</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(0.82)</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23.39</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6.81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80" w:type="dxa"/>
            <w:vAlign w:val="bottom"/>
          </w:tcPr>
          <w:p>
            <w:pPr>
              <w:spacing w:after="0" w:line="151" w:lineRule="exact"/>
              <w:rPr>
                <w:sz w:val="20"/>
                <w:szCs w:val="20"/>
                <w:color w:val="auto"/>
              </w:rPr>
            </w:pPr>
            <w:r>
              <w:rPr>
                <w:rFonts w:ascii="Arial" w:cs="Arial" w:eastAsia="Arial" w:hAnsi="Arial"/>
                <w:sz w:val="15"/>
                <w:szCs w:val="15"/>
                <w:color w:val="auto"/>
              </w:rPr>
              <w:t>Basic average number of common shares outstanding</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6"/>
              <w:spacing w:after="0" w:line="151" w:lineRule="exact"/>
              <w:rPr>
                <w:sz w:val="20"/>
                <w:szCs w:val="20"/>
                <w:color w:val="auto"/>
              </w:rPr>
            </w:pPr>
            <w:r>
              <w:rPr>
                <w:rFonts w:ascii="Arial" w:cs="Arial" w:eastAsia="Arial" w:hAnsi="Arial"/>
                <w:sz w:val="15"/>
                <w:szCs w:val="15"/>
                <w:b w:val="1"/>
                <w:bCs w:val="1"/>
                <w:color w:val="auto"/>
              </w:rPr>
              <w:t>7,272</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color w:val="auto"/>
              </w:rPr>
              <w:t>7,802</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b w:val="1"/>
                <w:bCs w:val="1"/>
                <w:color w:val="auto"/>
              </w:rPr>
              <w:t>7,405</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7,900</w:t>
            </w: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80" w:type="dxa"/>
            <w:vAlign w:val="bottom"/>
            <w:vMerge w:val="continue"/>
          </w:tcPr>
          <w:p>
            <w:pPr>
              <w:spacing w:after="0"/>
              <w:rPr>
                <w:sz w:val="13"/>
                <w:szCs w:val="13"/>
                <w:color w:val="auto"/>
              </w:rPr>
            </w:pPr>
          </w:p>
        </w:tc>
        <w:tc>
          <w:tcPr>
            <w:tcW w:w="360" w:type="dxa"/>
            <w:vAlign w:val="bottom"/>
          </w:tcPr>
          <w:p>
            <w:pPr>
              <w:jc w:val="right"/>
              <w:ind w:right="47"/>
              <w:spacing w:after="0" w:line="159" w:lineRule="exact"/>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86"/>
              <w:spacing w:after="0" w:line="159" w:lineRule="exact"/>
              <w:rPr>
                <w:sz w:val="20"/>
                <w:szCs w:val="20"/>
                <w:color w:val="auto"/>
              </w:rPr>
            </w:pPr>
            <w:r>
              <w:rPr>
                <w:rFonts w:ascii="Arial" w:cs="Arial" w:eastAsia="Arial" w:hAnsi="Arial"/>
                <w:sz w:val="15"/>
                <w:szCs w:val="15"/>
                <w:b w:val="1"/>
                <w:bCs w:val="1"/>
                <w:color w:val="auto"/>
              </w:rPr>
              <w:t>6.03</w:t>
            </w:r>
          </w:p>
        </w:tc>
        <w:tc>
          <w:tcPr>
            <w:tcW w:w="30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1060" w:type="dxa"/>
            <w:vAlign w:val="bottom"/>
          </w:tcPr>
          <w:p>
            <w:pPr>
              <w:jc w:val="right"/>
              <w:ind w:right="66"/>
              <w:spacing w:after="0" w:line="159" w:lineRule="exact"/>
              <w:rPr>
                <w:sz w:val="20"/>
                <w:szCs w:val="20"/>
                <w:color w:val="auto"/>
              </w:rPr>
            </w:pPr>
            <w:r>
              <w:rPr>
                <w:rFonts w:ascii="Arial" w:cs="Arial" w:eastAsia="Arial" w:hAnsi="Arial"/>
                <w:sz w:val="15"/>
                <w:szCs w:val="15"/>
                <w:color w:val="auto"/>
              </w:rPr>
              <w:t>1.59</w:t>
            </w:r>
          </w:p>
        </w:tc>
        <w:tc>
          <w:tcPr>
            <w:tcW w:w="360" w:type="dxa"/>
            <w:vAlign w:val="bottom"/>
          </w:tcPr>
          <w:p>
            <w:pPr>
              <w:jc w:val="right"/>
              <w:ind w:right="47"/>
              <w:spacing w:after="0" w:line="159" w:lineRule="exact"/>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66"/>
              <w:spacing w:after="0" w:line="159" w:lineRule="exact"/>
              <w:rPr>
                <w:sz w:val="20"/>
                <w:szCs w:val="20"/>
                <w:color w:val="auto"/>
              </w:rPr>
            </w:pPr>
            <w:r>
              <w:rPr>
                <w:rFonts w:ascii="Arial" w:cs="Arial" w:eastAsia="Arial" w:hAnsi="Arial"/>
                <w:sz w:val="15"/>
                <w:szCs w:val="15"/>
                <w:b w:val="1"/>
                <w:bCs w:val="1"/>
                <w:color w:val="auto"/>
              </w:rPr>
              <w:t>12.38</w:t>
            </w:r>
          </w:p>
        </w:tc>
        <w:tc>
          <w:tcPr>
            <w:tcW w:w="280" w:type="dxa"/>
            <w:vAlign w:val="bottom"/>
          </w:tcPr>
          <w:p>
            <w:pPr>
              <w:jc w:val="right"/>
              <w:spacing w:after="0" w:line="159"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9" w:lineRule="exact"/>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190"/>
        </w:trPr>
        <w:tc>
          <w:tcPr>
            <w:tcW w:w="6080" w:type="dxa"/>
            <w:vAlign w:val="bottom"/>
          </w:tcPr>
          <w:p>
            <w:pPr>
              <w:spacing w:after="0"/>
              <w:rPr>
                <w:sz w:val="20"/>
                <w:szCs w:val="20"/>
                <w:color w:val="auto"/>
              </w:rPr>
            </w:pPr>
            <w:r>
              <w:rPr>
                <w:rFonts w:ascii="Arial" w:cs="Arial" w:eastAsia="Arial" w:hAnsi="Arial"/>
                <w:sz w:val="15"/>
                <w:szCs w:val="15"/>
                <w:color w:val="auto"/>
              </w:rPr>
              <w:t>Diluted income (loss) per common share from discontinued operations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b w:val="1"/>
                <w:bCs w:val="1"/>
                <w:color w:val="auto"/>
              </w:rPr>
              <w:t>6.61</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11.01</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166"/>
        </w:trPr>
        <w:tc>
          <w:tcPr>
            <w:tcW w:w="6080" w:type="dxa"/>
            <w:vAlign w:val="bottom"/>
          </w:tcPr>
          <w:p>
            <w:pPr>
              <w:spacing w:after="0" w:line="167" w:lineRule="exact"/>
              <w:rPr>
                <w:sz w:val="20"/>
                <w:szCs w:val="20"/>
                <w:color w:val="auto"/>
              </w:rPr>
            </w:pPr>
            <w:r>
              <w:rPr>
                <w:rFonts w:ascii="Arial" w:cs="Arial" w:eastAsia="Arial" w:hAnsi="Arial"/>
                <w:sz w:val="15"/>
                <w:szCs w:val="15"/>
                <w:color w:val="auto"/>
              </w:rPr>
              <w:t>Diluted net income (loss) per common share</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12.64</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(0.82)</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23.39</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6.81</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80" w:type="dxa"/>
            <w:vAlign w:val="bottom"/>
          </w:tcPr>
          <w:p>
            <w:pPr>
              <w:spacing w:after="0" w:line="151" w:lineRule="exact"/>
              <w:rPr>
                <w:sz w:val="20"/>
                <w:szCs w:val="20"/>
                <w:color w:val="auto"/>
              </w:rPr>
            </w:pPr>
            <w:r>
              <w:rPr>
                <w:rFonts w:ascii="Arial" w:cs="Arial" w:eastAsia="Arial" w:hAnsi="Arial"/>
                <w:sz w:val="15"/>
                <w:szCs w:val="15"/>
                <w:color w:val="auto"/>
              </w:rPr>
              <w:t>Diluted average number of common shares outstanding</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86"/>
              <w:spacing w:after="0" w:line="151" w:lineRule="exact"/>
              <w:rPr>
                <w:sz w:val="20"/>
                <w:szCs w:val="20"/>
                <w:color w:val="auto"/>
              </w:rPr>
            </w:pPr>
            <w:r>
              <w:rPr>
                <w:rFonts w:ascii="Arial" w:cs="Arial" w:eastAsia="Arial" w:hAnsi="Arial"/>
                <w:sz w:val="15"/>
                <w:szCs w:val="15"/>
                <w:b w:val="1"/>
                <w:bCs w:val="1"/>
                <w:color w:val="auto"/>
              </w:rPr>
              <w:t>7,376</w:t>
            </w: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color w:val="auto"/>
              </w:rPr>
              <w:t>7,883</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6"/>
              <w:spacing w:after="0" w:line="151" w:lineRule="exact"/>
              <w:rPr>
                <w:sz w:val="20"/>
                <w:szCs w:val="20"/>
                <w:color w:val="auto"/>
              </w:rPr>
            </w:pPr>
            <w:r>
              <w:rPr>
                <w:rFonts w:ascii="Arial" w:cs="Arial" w:eastAsia="Arial" w:hAnsi="Arial"/>
                <w:sz w:val="15"/>
                <w:szCs w:val="15"/>
                <w:b w:val="1"/>
                <w:bCs w:val="1"/>
                <w:color w:val="auto"/>
              </w:rPr>
              <w:t>7,508</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7,979</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Condensed Consolidated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420" w:type="dxa"/>
            <w:vAlign w:val="bottom"/>
          </w:tcPr>
          <w:p>
            <w:pPr>
              <w:spacing w:after="0"/>
              <w:rPr>
                <w:sz w:val="13"/>
                <w:szCs w:val="13"/>
                <w:color w:val="auto"/>
              </w:rPr>
            </w:pPr>
          </w:p>
        </w:tc>
        <w:tc>
          <w:tcPr>
            <w:tcW w:w="2520" w:type="dxa"/>
            <w:vAlign w:val="bottom"/>
            <w:tcBorders>
              <w:bottom w:val="single" w:sz="8" w:color="auto"/>
            </w:tcBorders>
            <w:gridSpan w:val="2"/>
          </w:tcPr>
          <w:p>
            <w:pPr>
              <w:ind w:left="660"/>
              <w:spacing w:after="0"/>
              <w:rPr>
                <w:sz w:val="20"/>
                <w:szCs w:val="20"/>
                <w:color w:val="auto"/>
              </w:rPr>
            </w:pPr>
            <w:r>
              <w:rPr>
                <w:rFonts w:ascii="Arial" w:cs="Arial" w:eastAsia="Arial" w:hAnsi="Arial"/>
                <w:sz w:val="12"/>
                <w:szCs w:val="12"/>
                <w:b w:val="1"/>
                <w:bCs w:val="1"/>
                <w:color w:val="auto"/>
              </w:rPr>
              <w:t>Three Months Ended</w:t>
            </w:r>
          </w:p>
        </w:tc>
        <w:tc>
          <w:tcPr>
            <w:tcW w:w="2480" w:type="dxa"/>
            <w:vAlign w:val="bottom"/>
            <w:tcBorders>
              <w:bottom w:val="single" w:sz="8" w:color="auto"/>
            </w:tcBorders>
            <w:gridSpan w:val="2"/>
          </w:tcPr>
          <w:p>
            <w:pPr>
              <w:ind w:left="720"/>
              <w:spacing w:after="0"/>
              <w:rPr>
                <w:sz w:val="20"/>
                <w:szCs w:val="20"/>
                <w:color w:val="auto"/>
              </w:rPr>
            </w:pPr>
            <w:r>
              <w:rPr>
                <w:rFonts w:ascii="Arial" w:cs="Arial" w:eastAsia="Arial" w:hAnsi="Arial"/>
                <w:sz w:val="12"/>
                <w:szCs w:val="12"/>
                <w:b w:val="1"/>
                <w:bCs w:val="1"/>
                <w:color w:val="auto"/>
              </w:rPr>
              <w:t>Nine Months Ended</w:t>
            </w:r>
          </w:p>
        </w:tc>
      </w:tr>
      <w:tr>
        <w:trPr>
          <w:trHeight w:val="152"/>
        </w:trPr>
        <w:tc>
          <w:tcPr>
            <w:tcW w:w="6420" w:type="dxa"/>
            <w:vAlign w:val="bottom"/>
          </w:tcPr>
          <w:p>
            <w:pPr>
              <w:spacing w:after="0"/>
              <w:rPr>
                <w:sz w:val="13"/>
                <w:szCs w:val="13"/>
                <w:color w:val="auto"/>
              </w:rPr>
            </w:pPr>
          </w:p>
        </w:tc>
        <w:tc>
          <w:tcPr>
            <w:tcW w:w="1360" w:type="dxa"/>
            <w:vAlign w:val="bottom"/>
          </w:tcPr>
          <w:p>
            <w:pPr>
              <w:jc w:val="center"/>
              <w:ind w:right="18"/>
              <w:spacing w:after="0"/>
              <w:rPr>
                <w:sz w:val="20"/>
                <w:szCs w:val="20"/>
                <w:color w:val="auto"/>
              </w:rPr>
            </w:pPr>
            <w:r>
              <w:rPr>
                <w:rFonts w:ascii="Arial" w:cs="Arial" w:eastAsia="Arial" w:hAnsi="Arial"/>
                <w:sz w:val="12"/>
                <w:szCs w:val="12"/>
                <w:b w:val="1"/>
                <w:bCs w:val="1"/>
                <w:color w:val="auto"/>
              </w:rPr>
              <w:t>September 30,</w:t>
            </w:r>
          </w:p>
        </w:tc>
        <w:tc>
          <w:tcPr>
            <w:tcW w:w="1160" w:type="dxa"/>
            <w:vAlign w:val="bottom"/>
          </w:tcPr>
          <w:p>
            <w:pPr>
              <w:jc w:val="center"/>
              <w:spacing w:after="0"/>
              <w:rPr>
                <w:sz w:val="20"/>
                <w:szCs w:val="20"/>
                <w:color w:val="auto"/>
              </w:rPr>
            </w:pPr>
            <w:r>
              <w:rPr>
                <w:rFonts w:ascii="Arial" w:cs="Arial" w:eastAsia="Arial" w:hAnsi="Arial"/>
                <w:sz w:val="12"/>
                <w:szCs w:val="12"/>
                <w:color w:val="auto"/>
              </w:rPr>
              <w:t>October 2,</w:t>
            </w:r>
          </w:p>
        </w:tc>
        <w:tc>
          <w:tcPr>
            <w:tcW w:w="1380" w:type="dxa"/>
            <w:vAlign w:val="bottom"/>
          </w:tcPr>
          <w:p>
            <w:pPr>
              <w:jc w:val="center"/>
              <w:spacing w:after="0"/>
              <w:rPr>
                <w:sz w:val="20"/>
                <w:szCs w:val="20"/>
                <w:color w:val="auto"/>
              </w:rPr>
            </w:pPr>
            <w:r>
              <w:rPr>
                <w:rFonts w:ascii="Arial" w:cs="Arial" w:eastAsia="Arial" w:hAnsi="Arial"/>
                <w:sz w:val="12"/>
                <w:szCs w:val="12"/>
                <w:b w:val="1"/>
                <w:bCs w:val="1"/>
                <w:color w:val="auto"/>
              </w:rPr>
              <w:t>September 30,</w:t>
            </w:r>
          </w:p>
        </w:tc>
        <w:tc>
          <w:tcPr>
            <w:tcW w:w="1100" w:type="dxa"/>
            <w:vAlign w:val="bottom"/>
          </w:tcPr>
          <w:p>
            <w:pPr>
              <w:jc w:val="center"/>
              <w:spacing w:after="0"/>
              <w:rPr>
                <w:sz w:val="20"/>
                <w:szCs w:val="20"/>
                <w:color w:val="auto"/>
              </w:rPr>
            </w:pPr>
            <w:r>
              <w:rPr>
                <w:rFonts w:ascii="Arial" w:cs="Arial" w:eastAsia="Arial" w:hAnsi="Arial"/>
                <w:sz w:val="12"/>
                <w:szCs w:val="12"/>
                <w:color w:val="auto"/>
              </w:rPr>
              <w:t>October 2,</w:t>
            </w:r>
          </w:p>
        </w:tc>
      </w:tr>
      <w:tr>
        <w:trPr>
          <w:trHeight w:val="151"/>
        </w:trPr>
        <w:tc>
          <w:tcPr>
            <w:tcW w:w="6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360" w:type="dxa"/>
            <w:vAlign w:val="bottom"/>
            <w:tcBorders>
              <w:bottom w:val="single" w:sz="8" w:color="auto"/>
            </w:tcBorders>
          </w:tcPr>
          <w:p>
            <w:pPr>
              <w:jc w:val="right"/>
              <w:ind w:right="538"/>
              <w:spacing w:after="0"/>
              <w:rPr>
                <w:sz w:val="20"/>
                <w:szCs w:val="20"/>
                <w:color w:val="auto"/>
              </w:rPr>
            </w:pPr>
            <w:r>
              <w:rPr>
                <w:rFonts w:ascii="Arial" w:cs="Arial" w:eastAsia="Arial" w:hAnsi="Arial"/>
                <w:sz w:val="12"/>
                <w:szCs w:val="12"/>
                <w:b w:val="1"/>
                <w:bCs w:val="1"/>
                <w:color w:val="auto"/>
              </w:rPr>
              <w:t>2012</w:t>
            </w:r>
          </w:p>
        </w:tc>
        <w:tc>
          <w:tcPr>
            <w:tcW w:w="116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2011</w:t>
            </w:r>
          </w:p>
        </w:tc>
        <w:tc>
          <w:tcPr>
            <w:tcW w:w="13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b w:val="1"/>
                <w:bCs w:val="1"/>
                <w:color w:val="auto"/>
              </w:rPr>
              <w:t>2012</w:t>
            </w:r>
          </w:p>
        </w:tc>
        <w:tc>
          <w:tcPr>
            <w:tcW w:w="1100" w:type="dxa"/>
            <w:vAlign w:val="bottom"/>
            <w:tcBorders>
              <w:bottom w:val="single" w:sz="8" w:color="auto"/>
            </w:tcBorders>
          </w:tcPr>
          <w:p>
            <w:pPr>
              <w:jc w:val="right"/>
              <w:ind w:right="378"/>
              <w:spacing w:after="0"/>
              <w:rPr>
                <w:sz w:val="20"/>
                <w:szCs w:val="20"/>
                <w:color w:val="auto"/>
              </w:rPr>
            </w:pPr>
            <w:r>
              <w:rPr>
                <w:rFonts w:ascii="Arial" w:cs="Arial" w:eastAsia="Arial" w:hAnsi="Arial"/>
                <w:sz w:val="12"/>
                <w:szCs w:val="12"/>
                <w:color w:val="auto"/>
              </w:rPr>
              <w:t>2011</w:t>
            </w:r>
          </w:p>
        </w:tc>
      </w:tr>
    </w:tbl>
    <w:p>
      <w:pPr>
        <w:spacing w:after="0" w:line="1" w:lineRule="exact"/>
        <w:rPr>
          <w:sz w:val="20"/>
          <w:szCs w:val="20"/>
          <w:color w:val="auto"/>
        </w:rPr>
      </w:pPr>
    </w:p>
    <w:p>
      <w:pPr>
        <w:sectPr>
          <w:pgSz w:w="11900" w:h="16838" w:orient="portrait"/>
          <w:cols w:equalWidth="0" w:num="1">
            <w:col w:w="11420"/>
          </w:cols>
          <w:pgMar w:left="240" w:top="789" w:right="239" w:bottom="1440" w:gutter="0" w:footer="0" w:header="0"/>
        </w:sectPr>
      </w:pPr>
    </w:p>
    <w:p>
      <w:pPr>
        <w:spacing w:after="0"/>
        <w:rPr>
          <w:sz w:val="20"/>
          <w:szCs w:val="20"/>
          <w:color w:val="auto"/>
        </w:rPr>
      </w:pPr>
      <w:r>
        <w:rPr>
          <w:rFonts w:ascii="Arial" w:cs="Arial" w:eastAsia="Arial" w:hAnsi="Arial"/>
          <w:sz w:val="15"/>
          <w:szCs w:val="15"/>
          <w:b w:val="1"/>
          <w:bCs w:val="1"/>
          <w:color w:val="auto"/>
        </w:rPr>
        <w:t>Net Income (Loss)</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(Loss), Before Tax</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Foreign currency translation adjustments:</w:t>
      </w:r>
    </w:p>
    <w:p>
      <w:pPr>
        <w:spacing w:after="0" w:line="26" w:lineRule="exact"/>
        <w:rPr>
          <w:sz w:val="20"/>
          <w:szCs w:val="20"/>
          <w:color w:val="auto"/>
        </w:rPr>
      </w:pPr>
    </w:p>
    <w:p>
      <w:pPr>
        <w:ind w:left="480" w:right="1380"/>
        <w:spacing w:after="0" w:line="322" w:lineRule="auto"/>
        <w:rPr>
          <w:sz w:val="20"/>
          <w:szCs w:val="20"/>
          <w:color w:val="auto"/>
        </w:rPr>
      </w:pPr>
      <w:r>
        <w:rPr>
          <w:rFonts w:ascii="Arial" w:cs="Arial" w:eastAsia="Arial" w:hAnsi="Arial"/>
          <w:sz w:val="14"/>
          <w:szCs w:val="14"/>
          <w:color w:val="auto"/>
        </w:rPr>
        <w:t>Translation adjustments arising during the period Adjustment for sales of businesses with foreign operations</w:t>
      </w:r>
    </w:p>
    <w:p>
      <w:pPr>
        <w:spacing w:after="0" w:line="164" w:lineRule="exact"/>
        <w:rPr>
          <w:sz w:val="20"/>
          <w:szCs w:val="20"/>
          <w:color w:val="auto"/>
        </w:rPr>
      </w:pPr>
    </w:p>
    <w:p>
      <w:pPr>
        <w:ind w:left="480" w:right="1640" w:hanging="235"/>
        <w:spacing w:after="0" w:line="295" w:lineRule="auto"/>
        <w:rPr>
          <w:sz w:val="20"/>
          <w:szCs w:val="20"/>
          <w:color w:val="auto"/>
        </w:rPr>
      </w:pPr>
      <w:r>
        <w:rPr>
          <w:rFonts w:ascii="Arial" w:cs="Arial" w:eastAsia="Arial" w:hAnsi="Arial"/>
          <w:sz w:val="14"/>
          <w:szCs w:val="14"/>
          <w:color w:val="auto"/>
        </w:rPr>
        <w:t>Unrealized (losses) gains on available-for-sale securities: Unrealized (losses) gains for the period Reclassification adjustment for (gain) or write-down on</w:t>
      </w:r>
    </w:p>
    <w:p>
      <w:pPr>
        <w:spacing w:after="0" w:line="2" w:lineRule="exact"/>
        <w:rPr>
          <w:sz w:val="20"/>
          <w:szCs w:val="20"/>
          <w:color w:val="auto"/>
        </w:rPr>
      </w:pPr>
    </w:p>
    <w:p>
      <w:pPr>
        <w:ind w:left="700"/>
        <w:spacing w:after="0"/>
        <w:rPr>
          <w:sz w:val="20"/>
          <w:szCs w:val="20"/>
          <w:color w:val="auto"/>
        </w:rPr>
      </w:pPr>
      <w:r>
        <w:rPr>
          <w:rFonts w:ascii="Arial" w:cs="Arial" w:eastAsia="Arial" w:hAnsi="Arial"/>
          <w:sz w:val="15"/>
          <w:szCs w:val="15"/>
          <w:color w:val="auto"/>
        </w:rPr>
        <w:t>available-for-sale securities included in net income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Pension and other postretirement plans:</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Amortization of net prior service credit included in net income</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Amortization of net actuarial loss (gain) included in net income</w:t>
      </w:r>
    </w:p>
    <w:p>
      <w:pPr>
        <w:spacing w:after="0" w:line="2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Foreign affiliate pension adjustments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Cash flow hedge, net change</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Other Comprehensive Income (Loss), Before Tax</w:t>
      </w:r>
    </w:p>
    <w:p>
      <w:pPr>
        <w:spacing w:after="0" w:line="44" w:lineRule="exact"/>
        <w:rPr>
          <w:sz w:val="20"/>
          <w:szCs w:val="20"/>
          <w:color w:val="auto"/>
        </w:rPr>
      </w:pPr>
    </w:p>
    <w:p>
      <w:pPr>
        <w:ind w:left="480" w:right="880" w:hanging="235"/>
        <w:spacing w:after="0" w:line="263" w:lineRule="auto"/>
        <w:rPr>
          <w:sz w:val="20"/>
          <w:szCs w:val="20"/>
          <w:color w:val="auto"/>
        </w:rPr>
      </w:pPr>
      <w:r>
        <w:rPr>
          <w:rFonts w:ascii="Arial" w:cs="Arial" w:eastAsia="Arial" w:hAnsi="Arial"/>
          <w:sz w:val="15"/>
          <w:szCs w:val="15"/>
          <w:color w:val="auto"/>
        </w:rPr>
        <w:t>Income tax benefit (expense) related to items of other comprehensive income</w:t>
      </w:r>
    </w:p>
    <w:p>
      <w:pPr>
        <w:spacing w:after="0" w:line="1" w:lineRule="exact"/>
        <w:rPr>
          <w:sz w:val="20"/>
          <w:szCs w:val="20"/>
          <w:color w:val="auto"/>
        </w:rPr>
      </w:pPr>
    </w:p>
    <w:p>
      <w:pPr>
        <w:ind w:right="2300"/>
        <w:spacing w:after="0" w:line="288" w:lineRule="auto"/>
        <w:rPr>
          <w:sz w:val="20"/>
          <w:szCs w:val="20"/>
          <w:color w:val="auto"/>
        </w:rPr>
      </w:pPr>
      <w:r>
        <w:rPr>
          <w:rFonts w:ascii="Arial" w:cs="Arial" w:eastAsia="Arial" w:hAnsi="Arial"/>
          <w:sz w:val="15"/>
          <w:szCs w:val="15"/>
          <w:b w:val="1"/>
          <w:bCs w:val="1"/>
          <w:color w:val="auto"/>
        </w:rPr>
        <w:t>Other Comprehensive Income (Loss), Net of Tax Comprehensive Income (Loss)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Comprehensive loss (income) attributable to noncontrolling interests</w:t>
      </w:r>
    </w:p>
    <w:p>
      <w:pPr>
        <w:spacing w:after="0" w:line="8" w:lineRule="exact"/>
        <w:rPr>
          <w:sz w:val="20"/>
          <w:szCs w:val="20"/>
          <w:color w:val="auto"/>
        </w:rPr>
      </w:pPr>
    </w:p>
    <w:p>
      <w:pPr>
        <w:ind w:left="240" w:right="900" w:hanging="235"/>
        <w:spacing w:after="0" w:line="310" w:lineRule="auto"/>
        <w:rPr>
          <w:sz w:val="20"/>
          <w:szCs w:val="20"/>
          <w:color w:val="auto"/>
        </w:rPr>
      </w:pPr>
      <w:r>
        <w:rPr>
          <w:rFonts w:ascii="Arial" w:cs="Arial" w:eastAsia="Arial" w:hAnsi="Arial"/>
          <w:sz w:val="15"/>
          <w:szCs w:val="15"/>
          <w:b w:val="1"/>
          <w:bCs w:val="1"/>
          <w:color w:val="auto"/>
        </w:rPr>
        <w:t>Total Comprehensive Income (Loss) Attributable to The Washington Post Company</w:t>
      </w:r>
    </w:p>
    <w:p>
      <w:pPr>
        <w:spacing w:after="0" w:line="196" w:lineRule="exact"/>
        <w:rPr>
          <w:sz w:val="20"/>
          <w:szCs w:val="20"/>
          <w:color w:val="auto"/>
        </w:rPr>
      </w:pPr>
    </w:p>
    <w:p>
      <w:pPr>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00" w:type="dxa"/>
            <w:vAlign w:val="bottom"/>
          </w:tcPr>
          <w:p>
            <w:pPr>
              <w:jc w:val="right"/>
              <w:ind w:right="186"/>
              <w:spacing w:after="0"/>
              <w:rPr>
                <w:sz w:val="20"/>
                <w:szCs w:val="20"/>
                <w:color w:val="auto"/>
              </w:rPr>
            </w:pPr>
            <w:r>
              <w:rPr>
                <w:rFonts w:ascii="Arial" w:cs="Arial" w:eastAsia="Arial" w:hAnsi="Arial"/>
                <w:sz w:val="15"/>
                <w:szCs w:val="15"/>
                <w:b w:val="1"/>
                <w:bCs w:val="1"/>
                <w:color w:val="auto"/>
              </w:rPr>
              <w:t>$</w:t>
            </w: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93,947</w:t>
            </w:r>
          </w:p>
        </w:tc>
        <w:tc>
          <w:tcPr>
            <w:tcW w:w="4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(5,966)</w:t>
            </w:r>
          </w:p>
        </w:tc>
        <w:tc>
          <w:tcPr>
            <w:tcW w:w="38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177,562</w:t>
            </w:r>
          </w:p>
        </w:tc>
        <w:tc>
          <w:tcPr>
            <w:tcW w:w="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55,426</w:t>
            </w:r>
          </w:p>
        </w:tc>
      </w:tr>
      <w:tr>
        <w:trPr>
          <w:trHeight w:val="592"/>
        </w:trPr>
        <w:tc>
          <w:tcPr>
            <w:tcW w:w="50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5,321</w:t>
            </w:r>
          </w:p>
        </w:tc>
        <w:tc>
          <w:tcPr>
            <w:tcW w:w="40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(32,969)</w:t>
            </w: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4,233</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(19,911)</w:t>
            </w:r>
          </w:p>
        </w:tc>
      </w:tr>
      <w:tr>
        <w:trPr>
          <w:trHeight w:val="192"/>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(1,409)</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(888)</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3,912</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(32,969)</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3,345</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(19,911)</w:t>
            </w:r>
          </w:p>
        </w:tc>
      </w:tr>
      <w:tr>
        <w:trPr>
          <w:trHeight w:val="384"/>
        </w:trPr>
        <w:tc>
          <w:tcPr>
            <w:tcW w:w="50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(5,966)</w:t>
            </w:r>
          </w:p>
        </w:tc>
        <w:tc>
          <w:tcPr>
            <w:tcW w:w="40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(47,237)</w:t>
            </w: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32,939</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(62,342)</w:t>
            </w:r>
          </w:p>
        </w:tc>
      </w:tr>
      <w:tr>
        <w:trPr>
          <w:trHeight w:val="390"/>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23,097</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(772)</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53,793</w:t>
            </w: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(5,966)</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(24,140)</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32,167</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(8,549)</w:t>
            </w:r>
          </w:p>
        </w:tc>
      </w:tr>
      <w:tr>
        <w:trPr>
          <w:trHeight w:val="384"/>
        </w:trPr>
        <w:tc>
          <w:tcPr>
            <w:tcW w:w="500" w:type="dxa"/>
            <w:vAlign w:val="bottom"/>
          </w:tcPr>
          <w:p>
            <w:pPr>
              <w:spacing w:after="0"/>
              <w:rPr>
                <w:sz w:val="24"/>
                <w:szCs w:val="24"/>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(469)</w:t>
            </w:r>
          </w:p>
        </w:tc>
        <w:tc>
          <w:tcPr>
            <w:tcW w:w="40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(465)</w:t>
            </w:r>
          </w:p>
        </w:tc>
        <w:tc>
          <w:tcPr>
            <w:tcW w:w="380" w:type="dxa"/>
            <w:vAlign w:val="bottom"/>
          </w:tcPr>
          <w:p>
            <w:pPr>
              <w:spacing w:after="0"/>
              <w:rPr>
                <w:sz w:val="24"/>
                <w:szCs w:val="24"/>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(1,390)</w:t>
            </w:r>
          </w:p>
        </w:tc>
        <w:tc>
          <w:tcPr>
            <w:tcW w:w="3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(1,397)</w:t>
            </w:r>
          </w:p>
        </w:tc>
      </w:tr>
      <w:tr>
        <w:trPr>
          <w:trHeight w:val="199"/>
        </w:trPr>
        <w:tc>
          <w:tcPr>
            <w:tcW w:w="500" w:type="dxa"/>
            <w:vAlign w:val="bottom"/>
          </w:tcPr>
          <w:p>
            <w:pPr>
              <w:spacing w:after="0"/>
              <w:rPr>
                <w:sz w:val="17"/>
                <w:szCs w:val="17"/>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2,592</w:t>
            </w:r>
          </w:p>
        </w:tc>
        <w:tc>
          <w:tcPr>
            <w:tcW w:w="40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(127)</w:t>
            </w:r>
          </w:p>
        </w:tc>
        <w:tc>
          <w:tcPr>
            <w:tcW w:w="380" w:type="dxa"/>
            <w:vAlign w:val="bottom"/>
          </w:tcPr>
          <w:p>
            <w:pPr>
              <w:spacing w:after="0"/>
              <w:rPr>
                <w:sz w:val="17"/>
                <w:szCs w:val="17"/>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6,839</w:t>
            </w:r>
          </w:p>
        </w:tc>
        <w:tc>
          <w:tcPr>
            <w:tcW w:w="3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(382)</w:t>
            </w:r>
          </w:p>
        </w:tc>
      </w:tr>
      <w:tr>
        <w:trPr>
          <w:trHeight w:val="192"/>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6,701</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2,088</w:t>
            </w: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2,123</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6,109</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5,449</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309</w:t>
            </w: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217</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479</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(1,160)</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479</w:t>
            </w:r>
          </w:p>
        </w:tc>
      </w:tr>
      <w:tr>
        <w:trPr>
          <w:trHeight w:val="189"/>
        </w:trPr>
        <w:tc>
          <w:tcPr>
            <w:tcW w:w="500" w:type="dxa"/>
            <w:vAlign w:val="bottom"/>
          </w:tcPr>
          <w:p>
            <w:pPr>
              <w:spacing w:after="0"/>
              <w:rPr>
                <w:sz w:val="16"/>
                <w:szCs w:val="16"/>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286</w:t>
            </w:r>
          </w:p>
        </w:tc>
        <w:tc>
          <w:tcPr>
            <w:tcW w:w="40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(50,521)</w:t>
            </w:r>
          </w:p>
        </w:tc>
        <w:tc>
          <w:tcPr>
            <w:tcW w:w="38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39,801</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(27,672)</w:t>
            </w:r>
          </w:p>
        </w:tc>
      </w:tr>
      <w:tr>
        <w:trPr>
          <w:trHeight w:val="386"/>
        </w:trPr>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1,451</w:t>
            </w: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15,316</w:t>
            </w: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(14,580)</w:t>
            </w: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9,047</w:t>
            </w:r>
          </w:p>
        </w:tc>
      </w:tr>
      <w:tr>
        <w:trPr>
          <w:trHeight w:val="179"/>
        </w:trPr>
        <w:tc>
          <w:tcPr>
            <w:tcW w:w="5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1,737</w:t>
            </w: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(35,205)</w:t>
            </w: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25,221</w:t>
            </w:r>
          </w:p>
        </w:tc>
        <w:tc>
          <w:tcPr>
            <w:tcW w:w="3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(18,625)</w:t>
            </w:r>
          </w:p>
        </w:tc>
      </w:tr>
      <w:tr>
        <w:trPr>
          <w:trHeight w:val="187"/>
        </w:trPr>
        <w:tc>
          <w:tcPr>
            <w:tcW w:w="500" w:type="dxa"/>
            <w:vAlign w:val="bottom"/>
          </w:tcPr>
          <w:p>
            <w:pPr>
              <w:spacing w:after="0"/>
              <w:rPr>
                <w:sz w:val="16"/>
                <w:szCs w:val="16"/>
                <w:color w:val="auto"/>
              </w:rPr>
            </w:pPr>
          </w:p>
        </w:tc>
        <w:tc>
          <w:tcPr>
            <w:tcW w:w="820" w:type="dxa"/>
            <w:vAlign w:val="bottom"/>
          </w:tcPr>
          <w:p>
            <w:pPr>
              <w:jc w:val="right"/>
              <w:ind w:right="6"/>
              <w:spacing w:after="0"/>
              <w:rPr>
                <w:sz w:val="20"/>
                <w:szCs w:val="20"/>
                <w:color w:val="auto"/>
              </w:rPr>
            </w:pPr>
            <w:r>
              <w:rPr>
                <w:rFonts w:ascii="Arial" w:cs="Arial" w:eastAsia="Arial" w:hAnsi="Arial"/>
                <w:sz w:val="15"/>
                <w:szCs w:val="15"/>
                <w:b w:val="1"/>
                <w:bCs w:val="1"/>
                <w:color w:val="auto"/>
              </w:rPr>
              <w:t>95,684</w:t>
            </w:r>
          </w:p>
        </w:tc>
        <w:tc>
          <w:tcPr>
            <w:tcW w:w="40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color w:val="auto"/>
              </w:rPr>
              <w:t>(41,171)</w:t>
            </w:r>
          </w:p>
        </w:tc>
        <w:tc>
          <w:tcPr>
            <w:tcW w:w="380" w:type="dxa"/>
            <w:vAlign w:val="bottom"/>
          </w:tcPr>
          <w:p>
            <w:pPr>
              <w:spacing w:after="0"/>
              <w:rPr>
                <w:sz w:val="16"/>
                <w:szCs w:val="16"/>
                <w:color w:val="auto"/>
              </w:rPr>
            </w:pPr>
          </w:p>
        </w:tc>
        <w:tc>
          <w:tcPr>
            <w:tcW w:w="860" w:type="dxa"/>
            <w:vAlign w:val="bottom"/>
          </w:tcPr>
          <w:p>
            <w:pPr>
              <w:jc w:val="right"/>
              <w:ind w:right="26"/>
              <w:spacing w:after="0"/>
              <w:rPr>
                <w:sz w:val="20"/>
                <w:szCs w:val="20"/>
                <w:color w:val="auto"/>
              </w:rPr>
            </w:pPr>
            <w:r>
              <w:rPr>
                <w:rFonts w:ascii="Arial" w:cs="Arial" w:eastAsia="Arial" w:hAnsi="Arial"/>
                <w:sz w:val="15"/>
                <w:szCs w:val="15"/>
                <w:b w:val="1"/>
                <w:bCs w:val="1"/>
                <w:color w:val="auto"/>
              </w:rPr>
              <w:t>202,783</w:t>
            </w: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36,801</w:t>
            </w:r>
          </w:p>
        </w:tc>
      </w:tr>
      <w:tr>
        <w:trPr>
          <w:trHeight w:val="190"/>
        </w:trPr>
        <w:tc>
          <w:tcPr>
            <w:tcW w:w="5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76</w:t>
            </w: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(54)</w:t>
            </w: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(31)</w:t>
            </w: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r>
      <w:tr>
        <w:trPr>
          <w:trHeight w:val="365"/>
        </w:trPr>
        <w:tc>
          <w:tcPr>
            <w:tcW w:w="500" w:type="dxa"/>
            <w:vAlign w:val="bottom"/>
            <w:tcBorders>
              <w:bottom w:val="single" w:sz="8" w:color="auto"/>
            </w:tcBorders>
          </w:tcPr>
          <w:p>
            <w:pPr>
              <w:jc w:val="right"/>
              <w:ind w:right="186"/>
              <w:spacing w:after="0"/>
              <w:rPr>
                <w:sz w:val="20"/>
                <w:szCs w:val="20"/>
                <w:color w:val="auto"/>
              </w:rPr>
            </w:pPr>
            <w:r>
              <w:rPr>
                <w:rFonts w:ascii="Arial" w:cs="Arial" w:eastAsia="Arial" w:hAnsi="Arial"/>
                <w:sz w:val="15"/>
                <w:szCs w:val="15"/>
                <w:b w:val="1"/>
                <w:bCs w:val="1"/>
                <w:color w:val="auto"/>
              </w:rPr>
              <w:t>$</w:t>
            </w:r>
          </w:p>
        </w:tc>
        <w:tc>
          <w:tcPr>
            <w:tcW w:w="8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b w:val="1"/>
                <w:bCs w:val="1"/>
                <w:color w:val="auto"/>
              </w:rPr>
              <w:t>95,760</w:t>
            </w:r>
          </w:p>
        </w:tc>
        <w:tc>
          <w:tcPr>
            <w:tcW w:w="4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(41,225)</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w:t>
            </w:r>
          </w:p>
        </w:tc>
        <w:tc>
          <w:tcPr>
            <w:tcW w:w="86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b w:val="1"/>
                <w:bCs w:val="1"/>
                <w:color w:val="auto"/>
              </w:rPr>
              <w:t>202,752</w:t>
            </w:r>
          </w:p>
        </w:tc>
        <w:tc>
          <w:tcPr>
            <w:tcW w:w="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36,709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557" w:lineRule="exact"/>
        <w:rPr>
          <w:sz w:val="20"/>
          <w:szCs w:val="20"/>
          <w:color w:val="auto"/>
        </w:rPr>
      </w:pPr>
    </w:p>
    <w:p>
      <w:pPr>
        <w:sectPr>
          <w:pgSz w:w="11900" w:h="16838" w:orient="portrait"/>
          <w:cols w:equalWidth="0" w:num="2">
            <w:col w:w="5700" w:space="720"/>
            <w:col w:w="5000"/>
          </w:cols>
          <w:pgMar w:left="240" w:top="789"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4"/>
                <w:szCs w:val="14"/>
                <w:color w:val="auto"/>
              </w:rPr>
            </w:pPr>
          </w:p>
        </w:tc>
        <w:tc>
          <w:tcPr>
            <w:tcW w:w="1180" w:type="dxa"/>
            <w:vAlign w:val="bottom"/>
          </w:tcPr>
          <w:p>
            <w:pPr>
              <w:jc w:val="right"/>
              <w:ind w:right="258"/>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63"/>
        </w:trPr>
        <w:tc>
          <w:tcPr>
            <w:tcW w:w="82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299"/>
              <w:spacing w:after="0"/>
              <w:rPr>
                <w:sz w:val="20"/>
                <w:szCs w:val="20"/>
                <w:color w:val="auto"/>
              </w:rPr>
            </w:pPr>
            <w:r>
              <w:rPr>
                <w:rFonts w:ascii="Arial" w:cs="Arial" w:eastAsia="Arial" w:hAnsi="Arial"/>
                <w:sz w:val="12"/>
                <w:szCs w:val="12"/>
                <w:b w:val="1"/>
                <w:bCs w:val="1"/>
                <w:color w:val="auto"/>
              </w:rPr>
              <w:t>2012</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5"/>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Assets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Pr>
          <w:p>
            <w:pPr>
              <w:jc w:val="center"/>
              <w:ind w:right="279"/>
              <w:spacing w:after="0"/>
              <w:rPr>
                <w:sz w:val="20"/>
                <w:szCs w:val="20"/>
                <w:color w:val="auto"/>
              </w:rPr>
            </w:pPr>
            <w:r>
              <w:rPr>
                <w:rFonts w:ascii="Arial" w:cs="Arial" w:eastAsia="Arial" w:hAnsi="Arial"/>
                <w:sz w:val="12"/>
                <w:szCs w:val="12"/>
                <w:b w:val="1"/>
                <w:bCs w:val="1"/>
                <w:color w:val="auto"/>
              </w:rPr>
              <w:t>(Unaudited)</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8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6"/>
        </w:trPr>
        <w:tc>
          <w:tcPr>
            <w:tcW w:w="826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0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305,654</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7"/>
                <w:szCs w:val="17"/>
                <w:color w:val="auto"/>
              </w:rPr>
              <w:t>Cash and cash equivalents</w:t>
            </w:r>
          </w:p>
        </w:tc>
        <w:tc>
          <w:tcPr>
            <w:tcW w:w="20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381,099</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Restricted cash</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21,485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25,287</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Investments in marketable equity securities and other investments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424,277</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338,674</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Accounts receivable,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391,003</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392,725</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Income taxes receivable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51,160</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16,990</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Deferred income taxes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2,935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13,343</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Inventories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4,424</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6,571</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7"/>
                <w:szCs w:val="17"/>
                <w:color w:val="auto"/>
              </w:rPr>
              <w:t>Other current assets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77,181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70,936</w:t>
            </w:r>
          </w:p>
        </w:tc>
        <w:tc>
          <w:tcPr>
            <w:tcW w:w="0" w:type="dxa"/>
            <w:vAlign w:val="bottom"/>
          </w:tcPr>
          <w:p>
            <w:pPr>
              <w:spacing w:after="0"/>
              <w:rPr>
                <w:sz w:val="1"/>
                <w:szCs w:val="1"/>
                <w:color w:val="auto"/>
              </w:rPr>
            </w:pPr>
          </w:p>
        </w:tc>
      </w:tr>
      <w:tr>
        <w:trPr>
          <w:trHeight w:val="158"/>
        </w:trPr>
        <w:tc>
          <w:tcPr>
            <w:tcW w:w="8260" w:type="dxa"/>
            <w:vAlign w:val="bottom"/>
          </w:tcPr>
          <w:p>
            <w:pPr>
              <w:ind w:left="480"/>
              <w:spacing w:after="0" w:line="158" w:lineRule="exact"/>
              <w:rPr>
                <w:sz w:val="20"/>
                <w:szCs w:val="20"/>
                <w:color w:val="auto"/>
              </w:rPr>
            </w:pPr>
            <w:r>
              <w:rPr>
                <w:rFonts w:ascii="Arial" w:cs="Arial" w:eastAsia="Arial" w:hAnsi="Arial"/>
                <w:sz w:val="17"/>
                <w:szCs w:val="17"/>
                <w:b w:val="1"/>
                <w:bCs w:val="1"/>
                <w:color w:val="auto"/>
              </w:rPr>
              <w:t>Total Current Assets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1,278,119</w:t>
            </w:r>
          </w:p>
        </w:tc>
        <w:tc>
          <w:tcPr>
            <w:tcW w:w="3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7"/>
                <w:szCs w:val="17"/>
                <w:color w:val="auto"/>
              </w:rPr>
              <w:t>1,245,625</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Property, Plant and Equipment,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1,100,885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1,152,390</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Investments in Affiliates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25,219</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17,101</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Goodwill,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1,406,930</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1,414,997</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Indefinite-Lived Intangible Assets,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525,833</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530,641</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Amortized Intangible Assets, Net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46,794</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54,622</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Prepaid Pension Cost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528,438</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537,262</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Arial" w:cs="Arial" w:eastAsia="Arial" w:hAnsi="Arial"/>
                <w:sz w:val="17"/>
                <w:szCs w:val="17"/>
                <w:b w:val="1"/>
                <w:bCs w:val="1"/>
                <w:color w:val="auto"/>
              </w:rPr>
              <w:t>Deferred Charges and Other Assets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54,232</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64,348</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Assets</w:t>
            </w:r>
          </w:p>
        </w:tc>
        <w:tc>
          <w:tcPr>
            <w:tcW w:w="20" w:type="dxa"/>
            <w:vAlign w:val="bottom"/>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4,966,450</w:t>
            </w:r>
          </w:p>
        </w:tc>
        <w:tc>
          <w:tcPr>
            <w:tcW w:w="3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5,016,986</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2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26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20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493,040</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7"/>
                <w:szCs w:val="17"/>
                <w:color w:val="auto"/>
              </w:rPr>
              <w:t>Accounts payable and accrued liabilities</w:t>
            </w:r>
          </w:p>
        </w:tc>
        <w:tc>
          <w:tcPr>
            <w:tcW w:w="20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jc w:val="right"/>
              <w:spacing w:after="0" w:line="166" w:lineRule="exact"/>
              <w:rPr>
                <w:sz w:val="20"/>
                <w:szCs w:val="20"/>
                <w:color w:val="auto"/>
              </w:rPr>
            </w:pPr>
            <w:r>
              <w:rPr>
                <w:rFonts w:ascii="Arial" w:cs="Arial" w:eastAsia="Arial" w:hAnsi="Arial"/>
                <w:sz w:val="17"/>
                <w:szCs w:val="17"/>
                <w:color w:val="auto"/>
              </w:rPr>
              <w:t>$</w:t>
            </w: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495,041</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Deferred revenue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390,650</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387,532</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Dividends declared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18,299</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7"/>
                <w:szCs w:val="17"/>
                <w:color w:val="auto"/>
              </w:rPr>
              <w:t>Short-term borrowings</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3,043</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112,983</w:t>
            </w:r>
          </w:p>
        </w:tc>
        <w:tc>
          <w:tcPr>
            <w:tcW w:w="0" w:type="dxa"/>
            <w:vAlign w:val="bottom"/>
          </w:tcPr>
          <w:p>
            <w:pPr>
              <w:spacing w:after="0"/>
              <w:rPr>
                <w:sz w:val="1"/>
                <w:szCs w:val="1"/>
                <w:color w:val="auto"/>
              </w:rPr>
            </w:pPr>
          </w:p>
        </w:tc>
      </w:tr>
      <w:tr>
        <w:trPr>
          <w:trHeight w:val="158"/>
        </w:trPr>
        <w:tc>
          <w:tcPr>
            <w:tcW w:w="8260" w:type="dxa"/>
            <w:vAlign w:val="bottom"/>
          </w:tcPr>
          <w:p>
            <w:pPr>
              <w:ind w:left="480"/>
              <w:spacing w:after="0" w:line="158" w:lineRule="exact"/>
              <w:rPr>
                <w:sz w:val="20"/>
                <w:szCs w:val="20"/>
                <w:color w:val="auto"/>
              </w:rPr>
            </w:pPr>
            <w:r>
              <w:rPr>
                <w:rFonts w:ascii="Arial" w:cs="Arial" w:eastAsia="Arial" w:hAnsi="Arial"/>
                <w:sz w:val="17"/>
                <w:szCs w:val="17"/>
                <w:b w:val="1"/>
                <w:bCs w:val="1"/>
                <w:color w:val="auto"/>
              </w:rPr>
              <w:t>Total Current Liabilities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905,032</w:t>
            </w:r>
          </w:p>
        </w:tc>
        <w:tc>
          <w:tcPr>
            <w:tcW w:w="3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7"/>
                <w:szCs w:val="17"/>
                <w:color w:val="auto"/>
              </w:rPr>
              <w:t>995,556</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Postretirement Benefits Other Than Pensions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69,749</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67,864</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Accrued Compensation and Related Benefits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225,625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228,304</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Other Liabilities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115,421</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107,741</w:t>
            </w:r>
          </w:p>
        </w:tc>
        <w:tc>
          <w:tcPr>
            <w:tcW w:w="0" w:type="dxa"/>
            <w:vAlign w:val="bottom"/>
          </w:tcPr>
          <w:p>
            <w:pPr>
              <w:spacing w:after="0"/>
              <w:rPr>
                <w:sz w:val="1"/>
                <w:szCs w:val="1"/>
                <w:color w:val="auto"/>
              </w:rPr>
            </w:pPr>
          </w:p>
        </w:tc>
      </w:tr>
      <w:tr>
        <w:trPr>
          <w:trHeight w:val="186"/>
        </w:trPr>
        <w:tc>
          <w:tcPr>
            <w:tcW w:w="8260" w:type="dxa"/>
            <w:vAlign w:val="bottom"/>
          </w:tcPr>
          <w:p>
            <w:pPr>
              <w:spacing w:after="0" w:line="186" w:lineRule="exact"/>
              <w:rPr>
                <w:sz w:val="20"/>
                <w:szCs w:val="20"/>
                <w:color w:val="auto"/>
              </w:rPr>
            </w:pPr>
            <w:r>
              <w:rPr>
                <w:rFonts w:ascii="Arial" w:cs="Arial" w:eastAsia="Arial" w:hAnsi="Arial"/>
                <w:sz w:val="17"/>
                <w:szCs w:val="17"/>
                <w:b w:val="1"/>
                <w:bCs w:val="1"/>
                <w:color w:val="auto"/>
              </w:rPr>
              <w:t>Deferred Income Taxes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536,515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545,361</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Arial" w:cs="Arial" w:eastAsia="Arial" w:hAnsi="Arial"/>
                <w:sz w:val="17"/>
                <w:szCs w:val="17"/>
                <w:b w:val="1"/>
                <w:bCs w:val="1"/>
                <w:color w:val="auto"/>
              </w:rPr>
              <w:t>Long-Term Debt</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453,471</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452,229</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Liabilities</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2,305,813</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2,397,055</w:t>
            </w:r>
          </w:p>
        </w:tc>
        <w:tc>
          <w:tcPr>
            <w:tcW w:w="0" w:type="dxa"/>
            <w:vAlign w:val="bottom"/>
          </w:tcPr>
          <w:p>
            <w:pPr>
              <w:spacing w:after="0"/>
              <w:rPr>
                <w:sz w:val="1"/>
                <w:szCs w:val="1"/>
                <w:color w:val="auto"/>
              </w:rPr>
            </w:pPr>
          </w:p>
        </w:tc>
      </w:tr>
      <w:tr>
        <w:trPr>
          <w:trHeight w:val="158"/>
        </w:trPr>
        <w:tc>
          <w:tcPr>
            <w:tcW w:w="8260" w:type="dxa"/>
            <w:vAlign w:val="bottom"/>
          </w:tcPr>
          <w:p>
            <w:pPr>
              <w:spacing w:after="0" w:line="158" w:lineRule="exact"/>
              <w:rPr>
                <w:sz w:val="20"/>
                <w:szCs w:val="20"/>
                <w:color w:val="auto"/>
              </w:rPr>
            </w:pPr>
            <w:r>
              <w:rPr>
                <w:rFonts w:ascii="Arial" w:cs="Arial" w:eastAsia="Arial" w:hAnsi="Arial"/>
                <w:sz w:val="17"/>
                <w:szCs w:val="17"/>
                <w:b w:val="1"/>
                <w:bCs w:val="1"/>
                <w:color w:val="auto"/>
              </w:rPr>
              <w:t>Redeemable Noncontrolling Interest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19"/>
              <w:spacing w:after="0" w:line="158" w:lineRule="exact"/>
              <w:rPr>
                <w:sz w:val="20"/>
                <w:szCs w:val="20"/>
                <w:color w:val="auto"/>
              </w:rPr>
            </w:pPr>
            <w:r>
              <w:rPr>
                <w:rFonts w:ascii="Arial" w:cs="Arial" w:eastAsia="Arial" w:hAnsi="Arial"/>
                <w:sz w:val="17"/>
                <w:szCs w:val="17"/>
                <w:b w:val="1"/>
                <w:bCs w:val="1"/>
                <w:color w:val="auto"/>
              </w:rPr>
              <w:t>6,750</w:t>
            </w:r>
          </w:p>
        </w:tc>
        <w:tc>
          <w:tcPr>
            <w:tcW w:w="360" w:type="dxa"/>
            <w:vAlign w:val="bottom"/>
          </w:tcPr>
          <w:p>
            <w:pPr>
              <w:spacing w:after="0"/>
              <w:rPr>
                <w:sz w:val="13"/>
                <w:szCs w:val="13"/>
                <w:color w:val="auto"/>
              </w:rPr>
            </w:pPr>
          </w:p>
        </w:tc>
        <w:tc>
          <w:tcPr>
            <w:tcW w:w="1180" w:type="dxa"/>
            <w:vAlign w:val="bottom"/>
          </w:tcPr>
          <w:p>
            <w:pPr>
              <w:jc w:val="right"/>
              <w:spacing w:after="0" w:line="158" w:lineRule="exact"/>
              <w:rPr>
                <w:sz w:val="20"/>
                <w:szCs w:val="20"/>
                <w:color w:val="auto"/>
              </w:rPr>
            </w:pPr>
            <w:r>
              <w:rPr>
                <w:rFonts w:ascii="Arial" w:cs="Arial" w:eastAsia="Arial" w:hAnsi="Arial"/>
                <w:sz w:val="17"/>
                <w:szCs w:val="17"/>
                <w:color w:val="auto"/>
              </w:rPr>
              <w:t>6,740</w:t>
            </w:r>
          </w:p>
        </w:tc>
        <w:tc>
          <w:tcPr>
            <w:tcW w:w="0" w:type="dxa"/>
            <w:vAlign w:val="bottom"/>
          </w:tcPr>
          <w:p>
            <w:pPr>
              <w:spacing w:after="0"/>
              <w:rPr>
                <w:sz w:val="1"/>
                <w:szCs w:val="1"/>
                <w:color w:val="auto"/>
              </w:rPr>
            </w:pPr>
          </w:p>
        </w:tc>
      </w:tr>
      <w:tr>
        <w:trPr>
          <w:trHeight w:val="207"/>
        </w:trPr>
        <w:tc>
          <w:tcPr>
            <w:tcW w:w="8260" w:type="dxa"/>
            <w:vAlign w:val="bottom"/>
          </w:tcPr>
          <w:p>
            <w:pPr>
              <w:spacing w:after="0"/>
              <w:rPr>
                <w:sz w:val="20"/>
                <w:szCs w:val="20"/>
                <w:color w:val="auto"/>
              </w:rPr>
            </w:pPr>
            <w:r>
              <w:rPr>
                <w:rFonts w:ascii="Arial" w:cs="Arial" w:eastAsia="Arial" w:hAnsi="Arial"/>
                <w:sz w:val="17"/>
                <w:szCs w:val="17"/>
                <w:b w:val="1"/>
                <w:bCs w:val="1"/>
                <w:color w:val="auto"/>
              </w:rPr>
              <w:t>Redeemable Preferred Stock</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11,096</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11,295</w:t>
            </w:r>
          </w:p>
        </w:tc>
        <w:tc>
          <w:tcPr>
            <w:tcW w:w="0" w:type="dxa"/>
            <w:vAlign w:val="bottom"/>
          </w:tcPr>
          <w:p>
            <w:pPr>
              <w:spacing w:after="0"/>
              <w:rPr>
                <w:sz w:val="1"/>
                <w:szCs w:val="1"/>
                <w:color w:val="auto"/>
              </w:rPr>
            </w:pPr>
          </w:p>
        </w:tc>
      </w:tr>
      <w:tr>
        <w:trPr>
          <w:trHeight w:val="179"/>
        </w:trPr>
        <w:tc>
          <w:tcPr>
            <w:tcW w:w="8260" w:type="dxa"/>
            <w:vAlign w:val="bottom"/>
          </w:tcPr>
          <w:p>
            <w:pPr>
              <w:spacing w:after="0" w:line="179" w:lineRule="exact"/>
              <w:rPr>
                <w:sz w:val="20"/>
                <w:szCs w:val="20"/>
                <w:color w:val="auto"/>
              </w:rPr>
            </w:pPr>
            <w:r>
              <w:rPr>
                <w:rFonts w:ascii="Arial" w:cs="Arial" w:eastAsia="Arial" w:hAnsi="Arial"/>
                <w:sz w:val="17"/>
                <w:szCs w:val="17"/>
                <w:b w:val="1"/>
                <w:bCs w:val="1"/>
                <w:color w:val="auto"/>
              </w:rPr>
              <w:t>Preferred Stock</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8260" w:type="dxa"/>
            <w:vAlign w:val="bottom"/>
          </w:tcPr>
          <w:p>
            <w:pPr>
              <w:spacing w:after="0" w:line="178" w:lineRule="exact"/>
              <w:rPr>
                <w:sz w:val="20"/>
                <w:szCs w:val="20"/>
                <w:color w:val="auto"/>
              </w:rPr>
            </w:pPr>
            <w:r>
              <w:rPr>
                <w:rFonts w:ascii="Arial" w:cs="Arial" w:eastAsia="Arial" w:hAnsi="Arial"/>
                <w:sz w:val="17"/>
                <w:szCs w:val="17"/>
                <w:b w:val="1"/>
                <w:bCs w:val="1"/>
                <w:color w:val="auto"/>
              </w:rPr>
              <w:t>Common Stockholders’ Equity</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20,000</w:t>
            </w: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240"/>
              <w:spacing w:after="0" w:line="166" w:lineRule="exact"/>
              <w:rPr>
                <w:sz w:val="20"/>
                <w:szCs w:val="20"/>
                <w:color w:val="auto"/>
              </w:rPr>
            </w:pPr>
            <w:r>
              <w:rPr>
                <w:rFonts w:ascii="Arial" w:cs="Arial" w:eastAsia="Arial" w:hAnsi="Arial"/>
                <w:sz w:val="17"/>
                <w:szCs w:val="17"/>
                <w:color w:val="auto"/>
              </w:rPr>
              <w:t>Common stock</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20,000</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Capital in excess of par value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248,937</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252,767</w:t>
            </w:r>
          </w:p>
        </w:tc>
        <w:tc>
          <w:tcPr>
            <w:tcW w:w="0" w:type="dxa"/>
            <w:vAlign w:val="bottom"/>
          </w:tcPr>
          <w:p>
            <w:pPr>
              <w:spacing w:after="0"/>
              <w:rPr>
                <w:sz w:val="1"/>
                <w:szCs w:val="1"/>
                <w:color w:val="auto"/>
              </w:rPr>
            </w:pPr>
          </w:p>
        </w:tc>
      </w:tr>
      <w:tr>
        <w:trPr>
          <w:trHeight w:val="206"/>
        </w:trPr>
        <w:tc>
          <w:tcPr>
            <w:tcW w:w="8260" w:type="dxa"/>
            <w:vAlign w:val="bottom"/>
          </w:tcPr>
          <w:p>
            <w:pPr>
              <w:ind w:left="240"/>
              <w:spacing w:after="0"/>
              <w:rPr>
                <w:sz w:val="20"/>
                <w:szCs w:val="20"/>
                <w:color w:val="auto"/>
              </w:rPr>
            </w:pPr>
            <w:r>
              <w:rPr>
                <w:rFonts w:ascii="Arial" w:cs="Arial" w:eastAsia="Arial" w:hAnsi="Arial"/>
                <w:sz w:val="17"/>
                <w:szCs w:val="17"/>
                <w:color w:val="auto"/>
              </w:rPr>
              <w:t>Retained earnings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119"/>
              <w:spacing w:after="0"/>
              <w:rPr>
                <w:sz w:val="20"/>
                <w:szCs w:val="20"/>
                <w:color w:val="auto"/>
              </w:rPr>
            </w:pPr>
            <w:r>
              <w:rPr>
                <w:rFonts w:ascii="Arial" w:cs="Arial" w:eastAsia="Arial" w:hAnsi="Arial"/>
                <w:sz w:val="17"/>
                <w:szCs w:val="17"/>
                <w:b w:val="1"/>
                <w:bCs w:val="1"/>
                <w:color w:val="auto"/>
              </w:rPr>
              <w:t>4,665,007</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4,561,989</w:t>
            </w:r>
          </w:p>
        </w:tc>
        <w:tc>
          <w:tcPr>
            <w:tcW w:w="0" w:type="dxa"/>
            <w:vAlign w:val="bottom"/>
          </w:tcPr>
          <w:p>
            <w:pPr>
              <w:spacing w:after="0"/>
              <w:rPr>
                <w:sz w:val="1"/>
                <w:szCs w:val="1"/>
                <w:color w:val="auto"/>
              </w:rPr>
            </w:pPr>
          </w:p>
        </w:tc>
      </w:tr>
      <w:tr>
        <w:trPr>
          <w:trHeight w:val="186"/>
        </w:trPr>
        <w:tc>
          <w:tcPr>
            <w:tcW w:w="8260" w:type="dxa"/>
            <w:vAlign w:val="bottom"/>
          </w:tcPr>
          <w:p>
            <w:pPr>
              <w:ind w:left="240"/>
              <w:spacing w:after="0" w:line="186" w:lineRule="exact"/>
              <w:rPr>
                <w:sz w:val="20"/>
                <w:szCs w:val="20"/>
                <w:color w:val="auto"/>
              </w:rPr>
            </w:pPr>
            <w:r>
              <w:rPr>
                <w:rFonts w:ascii="Arial" w:cs="Arial" w:eastAsia="Arial" w:hAnsi="Arial"/>
                <w:sz w:val="17"/>
                <w:szCs w:val="17"/>
                <w:color w:val="auto"/>
              </w:rPr>
              <w:t>Accumulated other comprehensive income, net of tax</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restart"/>
          </w:tcPr>
          <w:p>
            <w:pPr>
              <w:jc w:val="right"/>
              <w:ind w:right="119"/>
              <w:spacing w:after="0"/>
              <w:rPr>
                <w:sz w:val="20"/>
                <w:szCs w:val="20"/>
                <w:color w:val="auto"/>
              </w:rPr>
            </w:pPr>
            <w:r>
              <w:rPr>
                <w:rFonts w:ascii="Arial" w:cs="Arial" w:eastAsia="Arial" w:hAnsi="Arial"/>
                <w:sz w:val="17"/>
                <w:szCs w:val="17"/>
                <w:b w:val="1"/>
                <w:bCs w:val="1"/>
                <w:color w:val="auto"/>
              </w:rPr>
              <w:t>24,683</w:t>
            </w: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8260" w:type="dxa"/>
            <w:vAlign w:val="bottom"/>
          </w:tcPr>
          <w:p>
            <w:pPr>
              <w:ind w:left="480"/>
              <w:spacing w:after="0" w:line="166" w:lineRule="exact"/>
              <w:rPr>
                <w:sz w:val="20"/>
                <w:szCs w:val="20"/>
                <w:color w:val="auto"/>
              </w:rPr>
            </w:pPr>
            <w:r>
              <w:rPr>
                <w:rFonts w:ascii="Arial" w:cs="Arial" w:eastAsia="Arial" w:hAnsi="Arial"/>
                <w:sz w:val="17"/>
                <w:szCs w:val="17"/>
                <w:color w:val="auto"/>
              </w:rPr>
              <w:t>Cumulative foreign currency translation adjustment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line="166" w:lineRule="exact"/>
              <w:rPr>
                <w:sz w:val="20"/>
                <w:szCs w:val="20"/>
                <w:color w:val="auto"/>
              </w:rPr>
            </w:pPr>
            <w:r>
              <w:rPr>
                <w:rFonts w:ascii="Arial" w:cs="Arial" w:eastAsia="Arial" w:hAnsi="Arial"/>
                <w:sz w:val="17"/>
                <w:szCs w:val="17"/>
                <w:color w:val="auto"/>
              </w:rPr>
              <w:t>21,338</w:t>
            </w:r>
          </w:p>
        </w:tc>
        <w:tc>
          <w:tcPr>
            <w:tcW w:w="0" w:type="dxa"/>
            <w:vAlign w:val="bottom"/>
          </w:tcPr>
          <w:p>
            <w:pPr>
              <w:spacing w:after="0"/>
              <w:rPr>
                <w:sz w:val="1"/>
                <w:szCs w:val="1"/>
                <w:color w:val="auto"/>
              </w:rPr>
            </w:pPr>
          </w:p>
        </w:tc>
      </w:tr>
      <w:tr>
        <w:trPr>
          <w:trHeight w:val="186"/>
        </w:trPr>
        <w:tc>
          <w:tcPr>
            <w:tcW w:w="8260" w:type="dxa"/>
            <w:vAlign w:val="bottom"/>
          </w:tcPr>
          <w:p>
            <w:pPr>
              <w:ind w:left="480"/>
              <w:spacing w:after="0" w:line="186" w:lineRule="exact"/>
              <w:rPr>
                <w:sz w:val="20"/>
                <w:szCs w:val="20"/>
                <w:color w:val="auto"/>
              </w:rPr>
            </w:pPr>
            <w:r>
              <w:rPr>
                <w:rFonts w:ascii="Arial" w:cs="Arial" w:eastAsia="Arial" w:hAnsi="Arial"/>
                <w:sz w:val="17"/>
                <w:szCs w:val="17"/>
                <w:color w:val="auto"/>
              </w:rPr>
              <w:t>Unrealized gain on available-for-sale securities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99,659</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80,358</w:t>
            </w:r>
          </w:p>
        </w:tc>
        <w:tc>
          <w:tcPr>
            <w:tcW w:w="0" w:type="dxa"/>
            <w:vAlign w:val="bottom"/>
          </w:tcPr>
          <w:p>
            <w:pPr>
              <w:spacing w:after="0"/>
              <w:rPr>
                <w:sz w:val="1"/>
                <w:szCs w:val="1"/>
                <w:color w:val="auto"/>
              </w:rPr>
            </w:pPr>
          </w:p>
        </w:tc>
      </w:tr>
      <w:tr>
        <w:trPr>
          <w:trHeight w:val="186"/>
        </w:trPr>
        <w:tc>
          <w:tcPr>
            <w:tcW w:w="8260" w:type="dxa"/>
            <w:vAlign w:val="bottom"/>
          </w:tcPr>
          <w:p>
            <w:pPr>
              <w:ind w:left="480"/>
              <w:spacing w:after="0" w:line="186" w:lineRule="exact"/>
              <w:rPr>
                <w:sz w:val="20"/>
                <w:szCs w:val="20"/>
                <w:color w:val="auto"/>
              </w:rPr>
            </w:pPr>
            <w:r>
              <w:rPr>
                <w:rFonts w:ascii="Arial" w:cs="Arial" w:eastAsia="Arial" w:hAnsi="Arial"/>
                <w:sz w:val="17"/>
                <w:szCs w:val="17"/>
                <w:color w:val="auto"/>
              </w:rPr>
              <w:t>Unrealized gain on pensions and other postretirement plans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66,895</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63,625</w:t>
            </w:r>
          </w:p>
        </w:tc>
        <w:tc>
          <w:tcPr>
            <w:tcW w:w="0" w:type="dxa"/>
            <w:vAlign w:val="bottom"/>
          </w:tcPr>
          <w:p>
            <w:pPr>
              <w:spacing w:after="0"/>
              <w:rPr>
                <w:sz w:val="1"/>
                <w:szCs w:val="1"/>
                <w:color w:val="auto"/>
              </w:rPr>
            </w:pPr>
          </w:p>
        </w:tc>
      </w:tr>
      <w:tr>
        <w:trPr>
          <w:trHeight w:val="186"/>
        </w:trPr>
        <w:tc>
          <w:tcPr>
            <w:tcW w:w="8260" w:type="dxa"/>
            <w:vAlign w:val="bottom"/>
          </w:tcPr>
          <w:p>
            <w:pPr>
              <w:ind w:left="480"/>
              <w:spacing w:after="0" w:line="186" w:lineRule="exact"/>
              <w:rPr>
                <w:sz w:val="20"/>
                <w:szCs w:val="20"/>
                <w:color w:val="auto"/>
              </w:rPr>
            </w:pPr>
            <w:r>
              <w:rPr>
                <w:rFonts w:ascii="Arial" w:cs="Arial" w:eastAsia="Arial" w:hAnsi="Arial"/>
                <w:sz w:val="17"/>
                <w:szCs w:val="17"/>
                <w:color w:val="auto"/>
              </w:rPr>
              <w:t>Cash flow hedge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jc w:val="right"/>
              <w:ind w:right="119"/>
              <w:spacing w:after="0" w:line="186" w:lineRule="exact"/>
              <w:rPr>
                <w:sz w:val="20"/>
                <w:szCs w:val="20"/>
                <w:color w:val="auto"/>
              </w:rPr>
            </w:pPr>
            <w:r>
              <w:rPr>
                <w:rFonts w:ascii="Arial" w:cs="Arial" w:eastAsia="Arial" w:hAnsi="Arial"/>
                <w:sz w:val="17"/>
                <w:szCs w:val="17"/>
                <w:b w:val="1"/>
                <w:bCs w:val="1"/>
                <w:color w:val="auto"/>
              </w:rPr>
              <w:t>(687)</w:t>
            </w:r>
          </w:p>
        </w:tc>
        <w:tc>
          <w:tcPr>
            <w:tcW w:w="36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7"/>
        </w:trPr>
        <w:tc>
          <w:tcPr>
            <w:tcW w:w="8260" w:type="dxa"/>
            <w:vAlign w:val="bottom"/>
          </w:tcPr>
          <w:p>
            <w:pPr>
              <w:ind w:left="240"/>
              <w:spacing w:after="0"/>
              <w:rPr>
                <w:sz w:val="20"/>
                <w:szCs w:val="20"/>
                <w:color w:val="auto"/>
              </w:rPr>
            </w:pPr>
            <w:r>
              <w:rPr>
                <w:rFonts w:ascii="Arial" w:cs="Arial" w:eastAsia="Arial" w:hAnsi="Arial"/>
                <w:sz w:val="17"/>
                <w:szCs w:val="17"/>
                <w:color w:val="auto"/>
              </w:rPr>
              <w:t>Cost of Class B common stock held in treasury</w:t>
            </w:r>
          </w:p>
        </w:tc>
        <w:tc>
          <w:tcPr>
            <w:tcW w:w="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b w:val="1"/>
                <w:bCs w:val="1"/>
                <w:color w:val="auto"/>
              </w:rPr>
              <w:t>(2,481,703)</w:t>
            </w: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(2,398,189)</w:t>
            </w:r>
          </w:p>
        </w:tc>
        <w:tc>
          <w:tcPr>
            <w:tcW w:w="0" w:type="dxa"/>
            <w:vAlign w:val="bottom"/>
          </w:tcPr>
          <w:p>
            <w:pPr>
              <w:spacing w:after="0"/>
              <w:rPr>
                <w:sz w:val="1"/>
                <w:szCs w:val="1"/>
                <w:color w:val="auto"/>
              </w:rPr>
            </w:pPr>
          </w:p>
        </w:tc>
      </w:tr>
      <w:tr>
        <w:trPr>
          <w:trHeight w:val="179"/>
        </w:trPr>
        <w:tc>
          <w:tcPr>
            <w:tcW w:w="8260" w:type="dxa"/>
            <w:vAlign w:val="bottom"/>
          </w:tcPr>
          <w:p>
            <w:pPr>
              <w:ind w:left="480"/>
              <w:spacing w:after="0" w:line="179" w:lineRule="exact"/>
              <w:rPr>
                <w:sz w:val="20"/>
                <w:szCs w:val="20"/>
                <w:color w:val="auto"/>
              </w:rPr>
            </w:pPr>
            <w:r>
              <w:rPr>
                <w:rFonts w:ascii="Arial" w:cs="Arial" w:eastAsia="Arial" w:hAnsi="Arial"/>
                <w:sz w:val="17"/>
                <w:szCs w:val="17"/>
                <w:b w:val="1"/>
                <w:bCs w:val="1"/>
                <w:color w:val="auto"/>
              </w:rPr>
              <w:t>Total Equity</w:t>
            </w: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2,642,791</w:t>
            </w: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2,601,896</w:t>
            </w:r>
          </w:p>
        </w:tc>
        <w:tc>
          <w:tcPr>
            <w:tcW w:w="0" w:type="dxa"/>
            <w:vAlign w:val="bottom"/>
          </w:tcPr>
          <w:p>
            <w:pPr>
              <w:spacing w:after="0"/>
              <w:rPr>
                <w:sz w:val="1"/>
                <w:szCs w:val="1"/>
                <w:color w:val="auto"/>
              </w:rPr>
            </w:pPr>
          </w:p>
        </w:tc>
      </w:tr>
      <w:tr>
        <w:trPr>
          <w:trHeight w:val="179"/>
        </w:trPr>
        <w:tc>
          <w:tcPr>
            <w:tcW w:w="8260" w:type="dxa"/>
            <w:vAlign w:val="bottom"/>
          </w:tcPr>
          <w:p>
            <w:pPr>
              <w:ind w:left="700"/>
              <w:spacing w:after="0" w:line="179" w:lineRule="exact"/>
              <w:rPr>
                <w:sz w:val="20"/>
                <w:szCs w:val="20"/>
                <w:color w:val="auto"/>
              </w:rPr>
            </w:pPr>
            <w:r>
              <w:rPr>
                <w:rFonts w:ascii="Arial" w:cs="Arial" w:eastAsia="Arial" w:hAnsi="Arial"/>
                <w:sz w:val="17"/>
                <w:szCs w:val="17"/>
                <w:b w:val="1"/>
                <w:bCs w:val="1"/>
                <w:color w:val="auto"/>
              </w:rPr>
              <w:t>Total Liabilities and Equity</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b w:val="1"/>
                <w:bCs w:val="1"/>
                <w:color w:val="auto"/>
              </w:rPr>
              <w:t>4,966,450</w:t>
            </w:r>
          </w:p>
        </w:tc>
        <w:tc>
          <w:tcPr>
            <w:tcW w:w="36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5,016,986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THE WASHINGTON POST COMPANY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(UNAUDITED)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2940" w:type="dxa"/>
            <w:vAlign w:val="bottom"/>
            <w:tcBorders>
              <w:bottom w:val="single" w:sz="8" w:color="auto"/>
            </w:tcBorders>
            <w:gridSpan w:val="2"/>
          </w:tcPr>
          <w:p>
            <w:pPr>
              <w:ind w:left="900"/>
              <w:spacing w:after="0"/>
              <w:rPr>
                <w:sz w:val="20"/>
                <w:szCs w:val="20"/>
                <w:color w:val="auto"/>
              </w:rPr>
            </w:pPr>
            <w:r>
              <w:rPr>
                <w:rFonts w:ascii="Arial" w:cs="Arial" w:eastAsia="Arial" w:hAnsi="Arial"/>
                <w:sz w:val="12"/>
                <w:szCs w:val="12"/>
                <w:b w:val="1"/>
                <w:bCs w:val="1"/>
                <w:color w:val="auto"/>
              </w:rPr>
              <w:t>Nine Months Ended</w:t>
            </w:r>
          </w:p>
        </w:tc>
      </w:tr>
      <w:tr>
        <w:trPr>
          <w:trHeight w:val="177"/>
        </w:trPr>
        <w:tc>
          <w:tcPr>
            <w:tcW w:w="8480" w:type="dxa"/>
            <w:vAlign w:val="bottom"/>
          </w:tcPr>
          <w:p>
            <w:pPr>
              <w:spacing w:after="0"/>
              <w:rPr>
                <w:sz w:val="15"/>
                <w:szCs w:val="15"/>
                <w:color w:val="auto"/>
              </w:rPr>
            </w:pPr>
          </w:p>
        </w:tc>
        <w:tc>
          <w:tcPr>
            <w:tcW w:w="1540" w:type="dxa"/>
            <w:vAlign w:val="bottom"/>
          </w:tcPr>
          <w:p>
            <w:pPr>
              <w:jc w:val="center"/>
              <w:ind w:right="118"/>
              <w:spacing w:after="0"/>
              <w:rPr>
                <w:sz w:val="20"/>
                <w:szCs w:val="20"/>
                <w:color w:val="auto"/>
              </w:rPr>
            </w:pPr>
            <w:r>
              <w:rPr>
                <w:rFonts w:ascii="Arial" w:cs="Arial" w:eastAsia="Arial" w:hAnsi="Arial"/>
                <w:sz w:val="12"/>
                <w:szCs w:val="12"/>
                <w:b w:val="1"/>
                <w:bCs w:val="1"/>
                <w:color w:val="auto"/>
              </w:rPr>
              <w:t>September 30,</w:t>
            </w:r>
          </w:p>
        </w:tc>
        <w:tc>
          <w:tcPr>
            <w:tcW w:w="1400" w:type="dxa"/>
            <w:vAlign w:val="bottom"/>
          </w:tcPr>
          <w:p>
            <w:pPr>
              <w:jc w:val="center"/>
              <w:spacing w:after="0"/>
              <w:rPr>
                <w:sz w:val="20"/>
                <w:szCs w:val="20"/>
                <w:color w:val="auto"/>
              </w:rPr>
            </w:pPr>
            <w:r>
              <w:rPr>
                <w:rFonts w:ascii="Arial" w:cs="Arial" w:eastAsia="Arial" w:hAnsi="Arial"/>
                <w:sz w:val="12"/>
                <w:szCs w:val="12"/>
                <w:color w:val="auto"/>
              </w:rPr>
              <w:t>October 2,</w:t>
            </w:r>
          </w:p>
        </w:tc>
      </w:tr>
      <w:tr>
        <w:trPr>
          <w:trHeight w:val="186"/>
        </w:trPr>
        <w:tc>
          <w:tcPr>
            <w:tcW w:w="8480" w:type="dxa"/>
            <w:vAlign w:val="bottom"/>
          </w:tcPr>
          <w:p>
            <w:pPr>
              <w:spacing w:after="0"/>
              <w:rPr>
                <w:sz w:val="20"/>
                <w:szCs w:val="20"/>
                <w:color w:val="auto"/>
              </w:rPr>
            </w:pPr>
            <w:r>
              <w:rPr>
                <w:rFonts w:ascii="Arial" w:cs="Arial" w:eastAsia="Arial" w:hAnsi="Arial"/>
                <w:sz w:val="12"/>
                <w:szCs w:val="12"/>
                <w:color w:val="auto"/>
              </w:rPr>
              <w:t>(In thousands)</w:t>
            </w:r>
          </w:p>
        </w:tc>
        <w:tc>
          <w:tcPr>
            <w:tcW w:w="1540" w:type="dxa"/>
            <w:vAlign w:val="bottom"/>
          </w:tcPr>
          <w:p>
            <w:pPr>
              <w:jc w:val="right"/>
              <w:ind w:right="678"/>
              <w:spacing w:after="0"/>
              <w:rPr>
                <w:sz w:val="20"/>
                <w:szCs w:val="20"/>
                <w:color w:val="auto"/>
              </w:rPr>
            </w:pPr>
            <w:r>
              <w:rPr>
                <w:rFonts w:ascii="Arial" w:cs="Arial" w:eastAsia="Arial" w:hAnsi="Arial"/>
                <w:sz w:val="12"/>
                <w:szCs w:val="12"/>
                <w:b w:val="1"/>
                <w:bCs w:val="1"/>
                <w:color w:val="auto"/>
              </w:rPr>
              <w:t>2012</w:t>
            </w:r>
          </w:p>
        </w:tc>
        <w:tc>
          <w:tcPr>
            <w:tcW w:w="1400" w:type="dxa"/>
            <w:vAlign w:val="bottom"/>
          </w:tcPr>
          <w:p>
            <w:pPr>
              <w:jc w:val="right"/>
              <w:ind w:right="498"/>
              <w:spacing w:after="0"/>
              <w:rPr>
                <w:sz w:val="20"/>
                <w:szCs w:val="20"/>
                <w:color w:val="auto"/>
              </w:rPr>
            </w:pPr>
            <w:r>
              <w:rPr>
                <w:rFonts w:ascii="Arial" w:cs="Arial" w:eastAsia="Arial" w:hAnsi="Arial"/>
                <w:sz w:val="12"/>
                <w:szCs w:val="12"/>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741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p>
      <w:pPr>
        <w:spacing w:after="0" w:line="229" w:lineRule="auto"/>
        <w:rPr>
          <w:sz w:val="20"/>
          <w:szCs w:val="20"/>
          <w:color w:val="auto"/>
        </w:rPr>
      </w:pPr>
      <w:r>
        <w:rPr>
          <w:rFonts w:ascii="Arial" w:cs="Arial" w:eastAsia="Arial" w:hAnsi="Arial"/>
          <w:sz w:val="17"/>
          <w:szCs w:val="17"/>
          <w:b w:val="1"/>
          <w:bCs w:val="1"/>
          <w:color w:val="auto"/>
        </w:rPr>
        <w:t>Cash Flows from Operating Activities:</w:t>
      </w:r>
    </w:p>
    <w:p>
      <w:pPr>
        <w:spacing w:after="0" w:line="228" w:lineRule="auto"/>
        <w:rPr>
          <w:sz w:val="20"/>
          <w:szCs w:val="20"/>
          <w:color w:val="auto"/>
        </w:rPr>
      </w:pPr>
      <w:r>
        <w:rPr>
          <w:rFonts w:ascii="Arial" w:cs="Arial" w:eastAsia="Arial" w:hAnsi="Arial"/>
          <w:sz w:val="17"/>
          <w:szCs w:val="17"/>
          <w:b w:val="1"/>
          <w:bCs w:val="1"/>
          <w:color w:val="auto"/>
        </w:rPr>
        <w:t>Net Income</w:t>
      </w:r>
    </w:p>
    <w:p>
      <w:pPr>
        <w:spacing w:after="0" w:line="229" w:lineRule="auto"/>
        <w:rPr>
          <w:sz w:val="20"/>
          <w:szCs w:val="20"/>
          <w:color w:val="auto"/>
        </w:rPr>
      </w:pPr>
      <w:r>
        <w:rPr>
          <w:rFonts w:ascii="Arial" w:cs="Arial" w:eastAsia="Arial" w:hAnsi="Arial"/>
          <w:sz w:val="17"/>
          <w:szCs w:val="17"/>
          <w:color w:val="auto"/>
        </w:rPr>
        <w:t>Adjustments to reconcile net income to net cash provided by operating activities:</w:t>
      </w:r>
    </w:p>
    <w:p>
      <w:pPr>
        <w:ind w:left="240"/>
        <w:spacing w:after="0" w:line="228" w:lineRule="auto"/>
        <w:rPr>
          <w:sz w:val="20"/>
          <w:szCs w:val="20"/>
          <w:color w:val="auto"/>
        </w:rPr>
      </w:pPr>
      <w:r>
        <w:rPr>
          <w:rFonts w:ascii="Arial" w:cs="Arial" w:eastAsia="Arial" w:hAnsi="Arial"/>
          <w:sz w:val="17"/>
          <w:szCs w:val="17"/>
          <w:color w:val="auto"/>
        </w:rPr>
        <w:t>Depreciation of property, plant and equipment</w:t>
      </w:r>
    </w:p>
    <w:p>
      <w:pPr>
        <w:ind w:left="240"/>
        <w:spacing w:after="0" w:line="229" w:lineRule="auto"/>
        <w:rPr>
          <w:sz w:val="20"/>
          <w:szCs w:val="20"/>
          <w:color w:val="auto"/>
        </w:rPr>
      </w:pPr>
      <w:r>
        <w:rPr>
          <w:rFonts w:ascii="Arial" w:cs="Arial" w:eastAsia="Arial" w:hAnsi="Arial"/>
          <w:sz w:val="17"/>
          <w:szCs w:val="17"/>
          <w:color w:val="auto"/>
        </w:rPr>
        <w:t>Amortization of intangible assets</w:t>
      </w:r>
    </w:p>
    <w:p>
      <w:pPr>
        <w:ind w:left="240"/>
        <w:spacing w:after="0" w:line="228" w:lineRule="auto"/>
        <w:rPr>
          <w:sz w:val="20"/>
          <w:szCs w:val="20"/>
          <w:color w:val="auto"/>
        </w:rPr>
      </w:pPr>
      <w:r>
        <w:rPr>
          <w:rFonts w:ascii="Arial" w:cs="Arial" w:eastAsia="Arial" w:hAnsi="Arial"/>
          <w:sz w:val="17"/>
          <w:szCs w:val="17"/>
          <w:color w:val="auto"/>
        </w:rPr>
        <w:t>Goodwill impairment charges</w:t>
      </w:r>
    </w:p>
    <w:p>
      <w:pPr>
        <w:ind w:left="240"/>
        <w:spacing w:after="0" w:line="229" w:lineRule="auto"/>
        <w:rPr>
          <w:sz w:val="20"/>
          <w:szCs w:val="20"/>
          <w:color w:val="auto"/>
        </w:rPr>
      </w:pPr>
      <w:r>
        <w:rPr>
          <w:rFonts w:ascii="Arial" w:cs="Arial" w:eastAsia="Arial" w:hAnsi="Arial"/>
          <w:sz w:val="17"/>
          <w:szCs w:val="17"/>
          <w:color w:val="auto"/>
        </w:rPr>
        <w:t>Net pension expense (benefit)</w:t>
      </w:r>
    </w:p>
    <w:p>
      <w:pPr>
        <w:ind w:left="240"/>
        <w:spacing w:after="0" w:line="228" w:lineRule="auto"/>
        <w:rPr>
          <w:sz w:val="20"/>
          <w:szCs w:val="20"/>
          <w:color w:val="auto"/>
        </w:rPr>
      </w:pPr>
      <w:r>
        <w:rPr>
          <w:rFonts w:ascii="Arial" w:cs="Arial" w:eastAsia="Arial" w:hAnsi="Arial"/>
          <w:sz w:val="17"/>
          <w:szCs w:val="17"/>
          <w:color w:val="auto"/>
        </w:rPr>
        <w:t>Early retirement program expense</w:t>
      </w:r>
    </w:p>
    <w:p>
      <w:pPr>
        <w:ind w:left="240"/>
        <w:spacing w:after="0" w:line="229" w:lineRule="auto"/>
        <w:rPr>
          <w:sz w:val="20"/>
          <w:szCs w:val="20"/>
          <w:color w:val="auto"/>
        </w:rPr>
      </w:pPr>
      <w:r>
        <w:rPr>
          <w:rFonts w:ascii="Arial" w:cs="Arial" w:eastAsia="Arial" w:hAnsi="Arial"/>
          <w:sz w:val="17"/>
          <w:szCs w:val="17"/>
          <w:color w:val="auto"/>
        </w:rPr>
        <w:t>Foreign exchange (gain) loss</w:t>
      </w:r>
    </w:p>
    <w:p>
      <w:pPr>
        <w:ind w:left="240"/>
        <w:spacing w:after="0" w:line="229" w:lineRule="auto"/>
        <w:rPr>
          <w:sz w:val="20"/>
          <w:szCs w:val="20"/>
          <w:color w:val="auto"/>
        </w:rPr>
      </w:pPr>
      <w:r>
        <w:rPr>
          <w:rFonts w:ascii="Arial" w:cs="Arial" w:eastAsia="Arial" w:hAnsi="Arial"/>
          <w:sz w:val="17"/>
          <w:szCs w:val="17"/>
          <w:color w:val="auto"/>
        </w:rPr>
        <w:t>Net gain on sales and disposition of businesses</w:t>
      </w:r>
    </w:p>
    <w:p>
      <w:pPr>
        <w:ind w:left="240"/>
        <w:spacing w:after="0" w:line="228" w:lineRule="auto"/>
        <w:rPr>
          <w:sz w:val="20"/>
          <w:szCs w:val="20"/>
          <w:color w:val="auto"/>
        </w:rPr>
      </w:pPr>
      <w:r>
        <w:rPr>
          <w:rFonts w:ascii="Arial" w:cs="Arial" w:eastAsia="Arial" w:hAnsi="Arial"/>
          <w:sz w:val="17"/>
          <w:szCs w:val="17"/>
          <w:color w:val="auto"/>
        </w:rPr>
        <w:t>Impairment write-down of a marketable equity security</w:t>
      </w:r>
    </w:p>
    <w:p>
      <w:pPr>
        <w:ind w:left="240"/>
        <w:spacing w:after="0" w:line="229" w:lineRule="auto"/>
        <w:rPr>
          <w:sz w:val="20"/>
          <w:szCs w:val="20"/>
          <w:color w:val="auto"/>
        </w:rPr>
      </w:pPr>
      <w:r>
        <w:rPr>
          <w:rFonts w:ascii="Arial" w:cs="Arial" w:eastAsia="Arial" w:hAnsi="Arial"/>
          <w:sz w:val="17"/>
          <w:szCs w:val="17"/>
          <w:color w:val="auto"/>
        </w:rPr>
        <w:t>Equity in earnings of affiliates, net of distributions</w:t>
      </w:r>
    </w:p>
    <w:p>
      <w:pPr>
        <w:ind w:left="240"/>
        <w:spacing w:after="0" w:line="228" w:lineRule="auto"/>
        <w:rPr>
          <w:sz w:val="20"/>
          <w:szCs w:val="20"/>
          <w:color w:val="auto"/>
        </w:rPr>
      </w:pPr>
      <w:r>
        <w:rPr>
          <w:rFonts w:ascii="Arial" w:cs="Arial" w:eastAsia="Arial" w:hAnsi="Arial"/>
          <w:sz w:val="17"/>
          <w:szCs w:val="17"/>
          <w:color w:val="auto"/>
        </w:rPr>
        <w:t>(Benefit) provision for deferred income taxes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(gain) loss on sale or write-down of property, plant and equipment and other assets</w:t>
      </w:r>
    </w:p>
    <w:p>
      <w:pPr>
        <w:ind w:left="240"/>
        <w:spacing w:after="0" w:line="231" w:lineRule="auto"/>
        <w:rPr>
          <w:sz w:val="20"/>
          <w:szCs w:val="20"/>
          <w:color w:val="auto"/>
        </w:rPr>
      </w:pPr>
      <w:r>
        <w:rPr>
          <w:rFonts w:ascii="Arial" w:cs="Arial" w:eastAsia="Arial" w:hAnsi="Arial"/>
          <w:sz w:val="17"/>
          <w:szCs w:val="17"/>
          <w:color w:val="auto"/>
        </w:rPr>
        <w:t>Change in assets and liabilities:</w:t>
      </w:r>
    </w:p>
    <w:p>
      <w:pPr>
        <w:ind w:left="480"/>
        <w:spacing w:after="0" w:line="228" w:lineRule="auto"/>
        <w:rPr>
          <w:sz w:val="20"/>
          <w:szCs w:val="20"/>
          <w:color w:val="auto"/>
        </w:rPr>
      </w:pPr>
      <w:r>
        <w:rPr>
          <w:rFonts w:ascii="Arial" w:cs="Arial" w:eastAsia="Arial" w:hAnsi="Arial"/>
          <w:sz w:val="17"/>
          <w:szCs w:val="17"/>
          <w:color w:val="auto"/>
        </w:rPr>
        <w:t>(Increase) decrease in accounts receivable, net</w:t>
      </w:r>
    </w:p>
    <w:p>
      <w:pPr>
        <w:ind w:left="480"/>
        <w:spacing w:after="0" w:line="229" w:lineRule="auto"/>
        <w:rPr>
          <w:sz w:val="20"/>
          <w:szCs w:val="20"/>
          <w:color w:val="auto"/>
        </w:rPr>
      </w:pPr>
      <w:r>
        <w:rPr>
          <w:rFonts w:ascii="Arial" w:cs="Arial" w:eastAsia="Arial" w:hAnsi="Arial"/>
          <w:sz w:val="17"/>
          <w:szCs w:val="17"/>
          <w:color w:val="auto"/>
        </w:rPr>
        <w:t>Decrease (increase) in inventories</w:t>
      </w:r>
    </w:p>
    <w:p>
      <w:pPr>
        <w:ind w:left="480"/>
        <w:spacing w:after="0" w:line="228" w:lineRule="auto"/>
        <w:rPr>
          <w:sz w:val="20"/>
          <w:szCs w:val="20"/>
          <w:color w:val="auto"/>
        </w:rPr>
      </w:pPr>
      <w:r>
        <w:rPr>
          <w:rFonts w:ascii="Arial" w:cs="Arial" w:eastAsia="Arial" w:hAnsi="Arial"/>
          <w:sz w:val="17"/>
          <w:szCs w:val="17"/>
          <w:color w:val="auto"/>
        </w:rPr>
        <w:t>Decrease in accounts payable and accrued liabilities</w:t>
      </w:r>
    </w:p>
    <w:p>
      <w:pPr>
        <w:ind w:left="480"/>
        <w:spacing w:after="0" w:line="229" w:lineRule="auto"/>
        <w:rPr>
          <w:sz w:val="20"/>
          <w:szCs w:val="20"/>
          <w:color w:val="auto"/>
        </w:rPr>
      </w:pPr>
      <w:r>
        <w:rPr>
          <w:rFonts w:ascii="Arial" w:cs="Arial" w:eastAsia="Arial" w:hAnsi="Arial"/>
          <w:sz w:val="17"/>
          <w:szCs w:val="17"/>
          <w:color w:val="auto"/>
        </w:rPr>
        <w:t>Increase in deferred revenue</w:t>
      </w:r>
    </w:p>
    <w:p>
      <w:pPr>
        <w:ind w:left="480"/>
        <w:spacing w:after="0" w:line="228" w:lineRule="auto"/>
        <w:rPr>
          <w:sz w:val="20"/>
          <w:szCs w:val="20"/>
          <w:color w:val="auto"/>
        </w:rPr>
      </w:pPr>
      <w:r>
        <w:rPr>
          <w:rFonts w:ascii="Arial" w:cs="Arial" w:eastAsia="Arial" w:hAnsi="Arial"/>
          <w:sz w:val="17"/>
          <w:szCs w:val="17"/>
          <w:color w:val="auto"/>
        </w:rPr>
        <w:t>(Increase) decrease in income taxes receivable</w:t>
      </w:r>
    </w:p>
    <w:p>
      <w:pPr>
        <w:spacing w:after="0" w:line="1" w:lineRule="exact"/>
        <w:rPr>
          <w:sz w:val="20"/>
          <w:szCs w:val="20"/>
          <w:color w:val="auto"/>
        </w:rPr>
      </w:pPr>
    </w:p>
    <w:p>
      <w:pPr>
        <w:ind w:left="240" w:right="2940" w:firstLine="236"/>
        <w:spacing w:after="0" w:line="235" w:lineRule="auto"/>
        <w:rPr>
          <w:sz w:val="20"/>
          <w:szCs w:val="20"/>
          <w:color w:val="auto"/>
        </w:rPr>
      </w:pPr>
      <w:r>
        <w:rPr>
          <w:rFonts w:ascii="Arial" w:cs="Arial" w:eastAsia="Arial" w:hAnsi="Arial"/>
          <w:sz w:val="17"/>
          <w:szCs w:val="17"/>
          <w:color w:val="auto"/>
        </w:rPr>
        <w:t>Decrease (increase) in other assets and other liabilities, net Other</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Net Cash Provided by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Investing Activities: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Purchases of property, plant and equipment</w:t>
      </w:r>
    </w:p>
    <w:p>
      <w:pPr>
        <w:ind w:left="240"/>
        <w:spacing w:after="0"/>
        <w:rPr>
          <w:sz w:val="20"/>
          <w:szCs w:val="20"/>
          <w:color w:val="auto"/>
        </w:rPr>
      </w:pPr>
      <w:r>
        <w:rPr>
          <w:rFonts w:ascii="Arial" w:cs="Arial" w:eastAsia="Arial" w:hAnsi="Arial"/>
          <w:sz w:val="16"/>
          <w:szCs w:val="16"/>
          <w:color w:val="auto"/>
        </w:rPr>
        <w:t>Net proceeds from sales of businesses, property, plant and equipment and other assets</w:t>
      </w:r>
    </w:p>
    <w:p>
      <w:pPr>
        <w:ind w:left="240"/>
        <w:spacing w:after="0" w:line="231" w:lineRule="auto"/>
        <w:rPr>
          <w:sz w:val="20"/>
          <w:szCs w:val="20"/>
          <w:color w:val="auto"/>
        </w:rPr>
      </w:pPr>
      <w:r>
        <w:rPr>
          <w:rFonts w:ascii="Arial" w:cs="Arial" w:eastAsia="Arial" w:hAnsi="Arial"/>
          <w:sz w:val="17"/>
          <w:szCs w:val="17"/>
          <w:color w:val="auto"/>
        </w:rPr>
        <w:t>Purchase of marketable equity securities and other investments</w:t>
      </w:r>
    </w:p>
    <w:p>
      <w:pPr>
        <w:ind w:left="240"/>
        <w:spacing w:after="0" w:line="228" w:lineRule="auto"/>
        <w:rPr>
          <w:sz w:val="20"/>
          <w:szCs w:val="20"/>
          <w:color w:val="auto"/>
        </w:rPr>
      </w:pPr>
      <w:r>
        <w:rPr>
          <w:rFonts w:ascii="Arial" w:cs="Arial" w:eastAsia="Arial" w:hAnsi="Arial"/>
          <w:sz w:val="17"/>
          <w:szCs w:val="17"/>
          <w:color w:val="auto"/>
        </w:rPr>
        <w:t>Investments in certain businesses, net of cash acquired</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Net Cash Used in Investing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Flows from Financing Activities: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Repayment of commercial paper, net</w:t>
      </w:r>
    </w:p>
    <w:p>
      <w:pPr>
        <w:ind w:left="240"/>
        <w:spacing w:after="0" w:line="228" w:lineRule="auto"/>
        <w:rPr>
          <w:sz w:val="20"/>
          <w:szCs w:val="20"/>
          <w:color w:val="auto"/>
        </w:rPr>
      </w:pPr>
      <w:r>
        <w:rPr>
          <w:rFonts w:ascii="Arial" w:cs="Arial" w:eastAsia="Arial" w:hAnsi="Arial"/>
          <w:sz w:val="17"/>
          <w:szCs w:val="17"/>
          <w:color w:val="auto"/>
        </w:rPr>
        <w:t>Common shares repurchased</w:t>
      </w:r>
    </w:p>
    <w:p>
      <w:pPr>
        <w:ind w:left="240"/>
        <w:spacing w:after="0" w:line="229" w:lineRule="auto"/>
        <w:rPr>
          <w:sz w:val="20"/>
          <w:szCs w:val="20"/>
          <w:color w:val="auto"/>
        </w:rPr>
      </w:pPr>
      <w:r>
        <w:rPr>
          <w:rFonts w:ascii="Arial" w:cs="Arial" w:eastAsia="Arial" w:hAnsi="Arial"/>
          <w:sz w:val="17"/>
          <w:szCs w:val="17"/>
          <w:color w:val="auto"/>
        </w:rPr>
        <w:t>Dividends paid</w:t>
      </w:r>
    </w:p>
    <w:p>
      <w:pPr>
        <w:ind w:left="240"/>
        <w:spacing w:after="0" w:line="228" w:lineRule="auto"/>
        <w:rPr>
          <w:sz w:val="20"/>
          <w:szCs w:val="20"/>
          <w:color w:val="auto"/>
        </w:rPr>
      </w:pPr>
      <w:r>
        <w:rPr>
          <w:rFonts w:ascii="Arial" w:cs="Arial" w:eastAsia="Arial" w:hAnsi="Arial"/>
          <w:sz w:val="17"/>
          <w:szCs w:val="17"/>
          <w:color w:val="auto"/>
        </w:rPr>
        <w:t>Issuance of debt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Other</w:t>
      </w:r>
    </w:p>
    <w:p>
      <w:pPr>
        <w:spacing w:after="0" w:line="2"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Net Cash Used in Financing Activities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Currency Exchange Rate Change</w:t>
      </w:r>
    </w:p>
    <w:p>
      <w:pPr>
        <w:spacing w:after="0" w:line="233" w:lineRule="auto"/>
        <w:rPr>
          <w:sz w:val="20"/>
          <w:szCs w:val="20"/>
          <w:color w:val="auto"/>
        </w:rPr>
      </w:pPr>
      <w:r>
        <w:rPr>
          <w:rFonts w:ascii="Arial" w:cs="Arial" w:eastAsia="Arial" w:hAnsi="Arial"/>
          <w:sz w:val="17"/>
          <w:szCs w:val="17"/>
          <w:b w:val="1"/>
          <w:bCs w:val="1"/>
          <w:color w:val="auto"/>
        </w:rPr>
        <w:t>Net Decrease in Cash and Cash Equivalents</w:t>
      </w:r>
    </w:p>
    <w:p>
      <w:pPr>
        <w:spacing w:after="0"/>
        <w:rPr>
          <w:sz w:val="20"/>
          <w:szCs w:val="20"/>
          <w:color w:val="auto"/>
        </w:rPr>
      </w:pPr>
      <w:r>
        <w:rPr>
          <w:rFonts w:ascii="Arial" w:cs="Arial" w:eastAsia="Arial" w:hAnsi="Arial"/>
          <w:sz w:val="17"/>
          <w:szCs w:val="17"/>
          <w:b w:val="1"/>
          <w:bCs w:val="1"/>
          <w:color w:val="auto"/>
        </w:rPr>
        <w:t>Beginning Cash and Cash Equivalents</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Ending Cash and Cash Equivalents</w:t>
      </w:r>
    </w:p>
    <w:p>
      <w:pPr>
        <w:spacing w:after="0" w:line="265" w:lineRule="exact"/>
        <w:rPr>
          <w:sz w:val="20"/>
          <w:szCs w:val="20"/>
          <w:color w:val="auto"/>
        </w:rPr>
      </w:pPr>
    </w:p>
    <w:p>
      <w:pPr>
        <w:spacing w:after="0"/>
        <w:rPr>
          <w:sz w:val="20"/>
          <w:szCs w:val="20"/>
          <w:color w:val="auto"/>
        </w:rPr>
      </w:pPr>
      <w:r>
        <w:rPr>
          <w:rFonts w:ascii="Arial" w:cs="Arial" w:eastAsia="Arial" w:hAnsi="Arial"/>
          <w:sz w:val="12"/>
          <w:szCs w:val="12"/>
          <w:color w:val="auto"/>
        </w:rPr>
        <w:t>See accompanying Notes to Condensed Consolidated Financial Statements.</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120" w:type="dxa"/>
        <w:tblCellMar>
          <w:top w:w="0" w:type="dxa"/>
          <w:left w:w="0" w:type="dxa"/>
          <w:bottom w:w="0" w:type="dxa"/>
          <w:right w:w="0" w:type="dxa"/>
        </w:tblCellMar>
      </w:tblPr>
      <w:tr>
        <w:trPr>
          <w:trHeight w:val="218"/>
        </w:trPr>
        <w:tc>
          <w:tcPr>
            <w:tcW w:w="340" w:type="dxa"/>
            <w:vAlign w:val="bottom"/>
          </w:tcPr>
          <w:p>
            <w:pPr>
              <w:jc w:val="right"/>
              <w:ind w:right="157"/>
              <w:spacing w:after="0"/>
              <w:rPr>
                <w:sz w:val="20"/>
                <w:szCs w:val="20"/>
                <w:color w:val="auto"/>
              </w:rPr>
            </w:pPr>
            <w:r>
              <w:rPr>
                <w:rFonts w:ascii="Arial" w:cs="Arial" w:eastAsia="Arial" w:hAnsi="Arial"/>
                <w:sz w:val="17"/>
                <w:szCs w:val="17"/>
                <w:b w:val="1"/>
                <w:bCs w:val="1"/>
                <w:color w:val="auto"/>
                <w:w w:val="84"/>
              </w:rPr>
              <w:t>$</w:t>
            </w: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177,562</w:t>
            </w:r>
          </w:p>
        </w:tc>
        <w:tc>
          <w:tcPr>
            <w:tcW w:w="54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55,426</w:t>
            </w:r>
          </w:p>
        </w:tc>
      </w:tr>
      <w:tr>
        <w:trPr>
          <w:trHeight w:val="341"/>
        </w:trPr>
        <w:tc>
          <w:tcPr>
            <w:tcW w:w="340" w:type="dxa"/>
            <w:vAlign w:val="bottom"/>
          </w:tcPr>
          <w:p>
            <w:pPr>
              <w:spacing w:after="0"/>
              <w:rPr>
                <w:sz w:val="24"/>
                <w:szCs w:val="24"/>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190,111</w:t>
            </w: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191,935</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13,833</w:t>
            </w:r>
          </w:p>
        </w:tc>
        <w:tc>
          <w:tcPr>
            <w:tcW w:w="54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23,514</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w:t>
            </w:r>
          </w:p>
        </w:tc>
        <w:tc>
          <w:tcPr>
            <w:tcW w:w="54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11,923</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9,980</w:t>
            </w:r>
          </w:p>
        </w:tc>
        <w:tc>
          <w:tcPr>
            <w:tcW w:w="54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(3,236)</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8,508</w:t>
            </w:r>
          </w:p>
        </w:tc>
        <w:tc>
          <w:tcPr>
            <w:tcW w:w="54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430</w:t>
            </w:r>
          </w:p>
        </w:tc>
      </w:tr>
      <w:tr>
        <w:trPr>
          <w:trHeight w:val="186"/>
        </w:trPr>
        <w:tc>
          <w:tcPr>
            <w:tcW w:w="340" w:type="dxa"/>
            <w:vAlign w:val="bottom"/>
          </w:tcPr>
          <w:p>
            <w:pPr>
              <w:spacing w:after="0"/>
              <w:rPr>
                <w:sz w:val="16"/>
                <w:szCs w:val="16"/>
                <w:color w:val="auto"/>
              </w:rPr>
            </w:pPr>
          </w:p>
        </w:tc>
        <w:tc>
          <w:tcPr>
            <w:tcW w:w="1060" w:type="dxa"/>
            <w:vAlign w:val="bottom"/>
          </w:tcPr>
          <w:p>
            <w:pPr>
              <w:jc w:val="right"/>
              <w:ind w:right="117"/>
              <w:spacing w:after="0" w:line="186" w:lineRule="exact"/>
              <w:rPr>
                <w:sz w:val="20"/>
                <w:szCs w:val="20"/>
                <w:color w:val="auto"/>
              </w:rPr>
            </w:pPr>
            <w:r>
              <w:rPr>
                <w:rFonts w:ascii="Arial" w:cs="Arial" w:eastAsia="Arial" w:hAnsi="Arial"/>
                <w:sz w:val="17"/>
                <w:szCs w:val="17"/>
                <w:b w:val="1"/>
                <w:bCs w:val="1"/>
                <w:color w:val="auto"/>
              </w:rPr>
              <w:t>(3,179)</w:t>
            </w:r>
          </w:p>
        </w:tc>
        <w:tc>
          <w:tcPr>
            <w:tcW w:w="540" w:type="dxa"/>
            <w:vAlign w:val="bottom"/>
          </w:tcPr>
          <w:p>
            <w:pPr>
              <w:spacing w:after="0"/>
              <w:rPr>
                <w:sz w:val="16"/>
                <w:szCs w:val="16"/>
                <w:color w:val="auto"/>
              </w:rPr>
            </w:pP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3,675</w:t>
            </w:r>
          </w:p>
        </w:tc>
      </w:tr>
      <w:tr>
        <w:trPr>
          <w:trHeight w:val="206"/>
        </w:trPr>
        <w:tc>
          <w:tcPr>
            <w:tcW w:w="340" w:type="dxa"/>
            <w:vAlign w:val="bottom"/>
          </w:tcPr>
          <w:p>
            <w:pPr>
              <w:spacing w:after="0"/>
              <w:rPr>
                <w:sz w:val="17"/>
                <w:szCs w:val="17"/>
                <w:color w:val="auto"/>
              </w:rPr>
            </w:pPr>
          </w:p>
        </w:tc>
        <w:tc>
          <w:tcPr>
            <w:tcW w:w="1060" w:type="dxa"/>
            <w:vAlign w:val="bottom"/>
          </w:tcPr>
          <w:p>
            <w:pPr>
              <w:jc w:val="right"/>
              <w:ind w:right="117"/>
              <w:spacing w:after="0"/>
              <w:rPr>
                <w:sz w:val="20"/>
                <w:szCs w:val="20"/>
                <w:color w:val="auto"/>
              </w:rPr>
            </w:pPr>
            <w:r>
              <w:rPr>
                <w:rFonts w:ascii="Arial" w:cs="Arial" w:eastAsia="Arial" w:hAnsi="Arial"/>
                <w:sz w:val="17"/>
                <w:szCs w:val="17"/>
                <w:b w:val="1"/>
                <w:bCs w:val="1"/>
                <w:color w:val="auto"/>
              </w:rPr>
              <w:t>(23,759)</w:t>
            </w:r>
          </w:p>
        </w:tc>
        <w:tc>
          <w:tcPr>
            <w:tcW w:w="5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(516)</w:t>
            </w:r>
          </w:p>
        </w:tc>
      </w:tr>
    </w:tbl>
    <w:p>
      <w:pPr>
        <w:ind w:left="2400" w:hanging="1251"/>
        <w:spacing w:after="0" w:line="228" w:lineRule="auto"/>
        <w:tabs>
          <w:tab w:leader="none" w:pos="2400" w:val="left"/>
        </w:tabs>
        <w:numPr>
          <w:ilvl w:val="0"/>
          <w:numId w:val="3"/>
        </w:numPr>
        <w:rPr>
          <w:rFonts w:ascii="Arial" w:cs="Arial" w:eastAsia="Arial" w:hAnsi="Arial"/>
          <w:sz w:val="17"/>
          <w:szCs w:val="17"/>
          <w:b w:val="1"/>
          <w:bCs w:val="1"/>
          <w:color w:val="auto"/>
        </w:rPr>
      </w:pPr>
      <w:r>
        <w:rPr>
          <w:rFonts w:ascii="Arial" w:cs="Arial" w:eastAsia="Arial" w:hAnsi="Arial"/>
          <w:sz w:val="17"/>
          <w:szCs w:val="17"/>
          <w:color w:val="auto"/>
        </w:rPr>
        <w:t>53,793</w:t>
      </w:r>
    </w:p>
    <w:p>
      <w:pPr>
        <w:ind w:left="7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(10,577)</w:t>
      </w:r>
      <w:r>
        <w:rPr>
          <w:rFonts w:ascii="Arial" w:cs="Arial" w:eastAsia="Arial" w:hAnsi="Arial"/>
          <w:sz w:val="16"/>
          <w:szCs w:val="16"/>
          <w:color w:val="auto"/>
        </w:rPr>
        <w:t>(5,381)</w:t>
      </w:r>
    </w:p>
    <w:p>
      <w:pPr>
        <w:ind w:left="7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(15,756)</w:t>
      </w:r>
      <w:r>
        <w:rPr>
          <w:rFonts w:ascii="Arial" w:cs="Arial" w:eastAsia="Arial" w:hAnsi="Arial"/>
          <w:sz w:val="16"/>
          <w:szCs w:val="16"/>
          <w:color w:val="auto"/>
        </w:rPr>
        <w:t>17,317</w:t>
      </w: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(6,215)</w:t>
      </w:r>
      <w:r>
        <w:rPr>
          <w:rFonts w:ascii="Arial" w:cs="Arial" w:eastAsia="Arial" w:hAnsi="Arial"/>
          <w:sz w:val="16"/>
          <w:szCs w:val="16"/>
          <w:color w:val="auto"/>
        </w:rPr>
        <w:t>6,155</w:t>
      </w:r>
    </w:p>
    <w:p>
      <w:pPr>
        <w:spacing w:after="0" w:line="147" w:lineRule="exact"/>
        <w:rPr>
          <w:sz w:val="20"/>
          <w:szCs w:val="20"/>
          <w:color w:val="auto"/>
        </w:rPr>
      </w:pPr>
    </w:p>
    <w:tbl>
      <w:tblPr>
        <w:tblLayout w:type="fixed"/>
        <w:tblInd w:w="700" w:type="dxa"/>
        <w:tblCellMar>
          <w:top w:w="0" w:type="dxa"/>
          <w:left w:w="0" w:type="dxa"/>
          <w:bottom w:w="0" w:type="dxa"/>
          <w:right w:w="0" w:type="dxa"/>
        </w:tblCellMar>
      </w:tblPr>
      <w:tr>
        <w:trPr>
          <w:trHeight w:val="195"/>
        </w:trPr>
        <w:tc>
          <w:tcPr>
            <w:tcW w:w="1100" w:type="dxa"/>
            <w:vAlign w:val="bottom"/>
          </w:tcPr>
          <w:p>
            <w:pPr>
              <w:jc w:val="right"/>
              <w:ind w:right="397"/>
              <w:spacing w:after="0"/>
              <w:rPr>
                <w:sz w:val="20"/>
                <w:szCs w:val="20"/>
                <w:color w:val="auto"/>
              </w:rPr>
            </w:pPr>
            <w:r>
              <w:rPr>
                <w:rFonts w:ascii="Arial" w:cs="Arial" w:eastAsia="Arial" w:hAnsi="Arial"/>
                <w:sz w:val="17"/>
                <w:szCs w:val="17"/>
                <w:b w:val="1"/>
                <w:bCs w:val="1"/>
                <w:color w:val="auto"/>
                <w:w w:val="94"/>
              </w:rPr>
              <w:t>(11,984)</w:t>
            </w:r>
          </w:p>
        </w:tc>
        <w:tc>
          <w:tcPr>
            <w:tcW w:w="1100" w:type="dxa"/>
            <w:vAlign w:val="bottom"/>
          </w:tcPr>
          <w:p>
            <w:pPr>
              <w:jc w:val="right"/>
              <w:spacing w:after="0"/>
              <w:rPr>
                <w:sz w:val="20"/>
                <w:szCs w:val="20"/>
                <w:color w:val="auto"/>
              </w:rPr>
            </w:pPr>
            <w:r>
              <w:rPr>
                <w:rFonts w:ascii="Arial" w:cs="Arial" w:eastAsia="Arial" w:hAnsi="Arial"/>
                <w:sz w:val="17"/>
                <w:szCs w:val="17"/>
                <w:color w:val="auto"/>
              </w:rPr>
              <w:t>38,835</w:t>
            </w:r>
          </w:p>
        </w:tc>
      </w:tr>
      <w:tr>
        <w:trPr>
          <w:trHeight w:val="186"/>
        </w:trPr>
        <w:tc>
          <w:tcPr>
            <w:tcW w:w="1100" w:type="dxa"/>
            <w:vAlign w:val="bottom"/>
          </w:tcPr>
          <w:p>
            <w:pPr>
              <w:jc w:val="right"/>
              <w:ind w:right="397"/>
              <w:spacing w:after="0" w:line="186" w:lineRule="exact"/>
              <w:rPr>
                <w:sz w:val="20"/>
                <w:szCs w:val="20"/>
                <w:color w:val="auto"/>
              </w:rPr>
            </w:pPr>
            <w:r>
              <w:rPr>
                <w:rFonts w:ascii="Arial" w:cs="Arial" w:eastAsia="Arial" w:hAnsi="Arial"/>
                <w:sz w:val="17"/>
                <w:szCs w:val="17"/>
                <w:b w:val="1"/>
                <w:bCs w:val="1"/>
                <w:color w:val="auto"/>
              </w:rPr>
              <w:t>1,690</w:t>
            </w:r>
          </w:p>
        </w:tc>
        <w:tc>
          <w:tcPr>
            <w:tcW w:w="1100" w:type="dxa"/>
            <w:vAlign w:val="bottom"/>
          </w:tcPr>
          <w:p>
            <w:pPr>
              <w:jc w:val="right"/>
              <w:spacing w:after="0" w:line="186" w:lineRule="exact"/>
              <w:rPr>
                <w:sz w:val="20"/>
                <w:szCs w:val="20"/>
                <w:color w:val="auto"/>
              </w:rPr>
            </w:pPr>
            <w:r>
              <w:rPr>
                <w:rFonts w:ascii="Arial" w:cs="Arial" w:eastAsia="Arial" w:hAnsi="Arial"/>
                <w:sz w:val="17"/>
                <w:szCs w:val="17"/>
                <w:color w:val="auto"/>
              </w:rPr>
              <w:t>(2,268)</w:t>
            </w:r>
          </w:p>
        </w:tc>
      </w:tr>
      <w:tr>
        <w:trPr>
          <w:trHeight w:val="186"/>
        </w:trPr>
        <w:tc>
          <w:tcPr>
            <w:tcW w:w="1100" w:type="dxa"/>
            <w:vAlign w:val="bottom"/>
          </w:tcPr>
          <w:p>
            <w:pPr>
              <w:jc w:val="right"/>
              <w:ind w:right="397"/>
              <w:spacing w:after="0" w:line="186" w:lineRule="exact"/>
              <w:rPr>
                <w:sz w:val="20"/>
                <w:szCs w:val="20"/>
                <w:color w:val="auto"/>
              </w:rPr>
            </w:pPr>
            <w:r>
              <w:rPr>
                <w:rFonts w:ascii="Arial" w:cs="Arial" w:eastAsia="Arial" w:hAnsi="Arial"/>
                <w:sz w:val="17"/>
                <w:szCs w:val="17"/>
                <w:b w:val="1"/>
                <w:bCs w:val="1"/>
                <w:color w:val="auto"/>
                <w:w w:val="94"/>
              </w:rPr>
              <w:t>(24,885)</w:t>
            </w:r>
          </w:p>
        </w:tc>
        <w:tc>
          <w:tcPr>
            <w:tcW w:w="1100" w:type="dxa"/>
            <w:vAlign w:val="bottom"/>
          </w:tcPr>
          <w:p>
            <w:pPr>
              <w:jc w:val="right"/>
              <w:spacing w:after="0" w:line="186" w:lineRule="exact"/>
              <w:rPr>
                <w:sz w:val="20"/>
                <w:szCs w:val="20"/>
                <w:color w:val="auto"/>
              </w:rPr>
            </w:pPr>
            <w:r>
              <w:rPr>
                <w:rFonts w:ascii="Arial" w:cs="Arial" w:eastAsia="Arial" w:hAnsi="Arial"/>
                <w:sz w:val="17"/>
                <w:szCs w:val="17"/>
                <w:color w:val="auto"/>
              </w:rPr>
              <w:t>(88,643)</w:t>
            </w:r>
          </w:p>
        </w:tc>
      </w:tr>
      <w:tr>
        <w:trPr>
          <w:trHeight w:val="186"/>
        </w:trPr>
        <w:tc>
          <w:tcPr>
            <w:tcW w:w="1100" w:type="dxa"/>
            <w:vAlign w:val="bottom"/>
          </w:tcPr>
          <w:p>
            <w:pPr>
              <w:jc w:val="right"/>
              <w:ind w:right="397"/>
              <w:spacing w:after="0" w:line="186" w:lineRule="exact"/>
              <w:rPr>
                <w:sz w:val="20"/>
                <w:szCs w:val="20"/>
                <w:color w:val="auto"/>
              </w:rPr>
            </w:pPr>
            <w:r>
              <w:rPr>
                <w:rFonts w:ascii="Arial" w:cs="Arial" w:eastAsia="Arial" w:hAnsi="Arial"/>
                <w:sz w:val="17"/>
                <w:szCs w:val="17"/>
                <w:b w:val="1"/>
                <w:bCs w:val="1"/>
                <w:color w:val="auto"/>
              </w:rPr>
              <w:t>20,070</w:t>
            </w:r>
          </w:p>
        </w:tc>
        <w:tc>
          <w:tcPr>
            <w:tcW w:w="1100" w:type="dxa"/>
            <w:vAlign w:val="bottom"/>
          </w:tcPr>
          <w:p>
            <w:pPr>
              <w:jc w:val="right"/>
              <w:spacing w:after="0" w:line="186" w:lineRule="exact"/>
              <w:rPr>
                <w:sz w:val="20"/>
                <w:szCs w:val="20"/>
                <w:color w:val="auto"/>
              </w:rPr>
            </w:pPr>
            <w:r>
              <w:rPr>
                <w:rFonts w:ascii="Arial" w:cs="Arial" w:eastAsia="Arial" w:hAnsi="Arial"/>
                <w:sz w:val="17"/>
                <w:szCs w:val="17"/>
                <w:color w:val="auto"/>
              </w:rPr>
              <w:t>1,771</w:t>
            </w:r>
          </w:p>
        </w:tc>
      </w:tr>
      <w:tr>
        <w:trPr>
          <w:trHeight w:val="186"/>
        </w:trPr>
        <w:tc>
          <w:tcPr>
            <w:tcW w:w="1100" w:type="dxa"/>
            <w:vAlign w:val="bottom"/>
          </w:tcPr>
          <w:p>
            <w:pPr>
              <w:jc w:val="right"/>
              <w:ind w:right="397"/>
              <w:spacing w:after="0" w:line="186" w:lineRule="exact"/>
              <w:rPr>
                <w:sz w:val="20"/>
                <w:szCs w:val="20"/>
                <w:color w:val="auto"/>
              </w:rPr>
            </w:pPr>
            <w:r>
              <w:rPr>
                <w:rFonts w:ascii="Arial" w:cs="Arial" w:eastAsia="Arial" w:hAnsi="Arial"/>
                <w:sz w:val="17"/>
                <w:szCs w:val="17"/>
                <w:b w:val="1"/>
                <w:bCs w:val="1"/>
                <w:color w:val="auto"/>
                <w:w w:val="94"/>
              </w:rPr>
              <w:t>(35,341)</w:t>
            </w:r>
          </w:p>
        </w:tc>
        <w:tc>
          <w:tcPr>
            <w:tcW w:w="1100" w:type="dxa"/>
            <w:vAlign w:val="bottom"/>
          </w:tcPr>
          <w:p>
            <w:pPr>
              <w:jc w:val="right"/>
              <w:spacing w:after="0" w:line="186" w:lineRule="exact"/>
              <w:rPr>
                <w:sz w:val="20"/>
                <w:szCs w:val="20"/>
                <w:color w:val="auto"/>
              </w:rPr>
            </w:pPr>
            <w:r>
              <w:rPr>
                <w:rFonts w:ascii="Arial" w:cs="Arial" w:eastAsia="Arial" w:hAnsi="Arial"/>
                <w:sz w:val="17"/>
                <w:szCs w:val="17"/>
                <w:color w:val="auto"/>
              </w:rPr>
              <w:t>9,291</w:t>
            </w:r>
          </w:p>
        </w:tc>
      </w:tr>
      <w:tr>
        <w:trPr>
          <w:trHeight w:val="206"/>
        </w:trPr>
        <w:tc>
          <w:tcPr>
            <w:tcW w:w="1100" w:type="dxa"/>
            <w:vAlign w:val="bottom"/>
          </w:tcPr>
          <w:p>
            <w:pPr>
              <w:jc w:val="right"/>
              <w:ind w:right="397"/>
              <w:spacing w:after="0"/>
              <w:rPr>
                <w:sz w:val="20"/>
                <w:szCs w:val="20"/>
                <w:color w:val="auto"/>
              </w:rPr>
            </w:pPr>
            <w:r>
              <w:rPr>
                <w:rFonts w:ascii="Arial" w:cs="Arial" w:eastAsia="Arial" w:hAnsi="Arial"/>
                <w:sz w:val="17"/>
                <w:szCs w:val="17"/>
                <w:b w:val="1"/>
                <w:bCs w:val="1"/>
                <w:color w:val="auto"/>
              </w:rPr>
              <w:t>5,460</w:t>
            </w:r>
          </w:p>
        </w:tc>
        <w:tc>
          <w:tcPr>
            <w:tcW w:w="1100" w:type="dxa"/>
            <w:vAlign w:val="bottom"/>
          </w:tcPr>
          <w:p>
            <w:pPr>
              <w:jc w:val="right"/>
              <w:spacing w:after="0"/>
              <w:rPr>
                <w:sz w:val="20"/>
                <w:szCs w:val="20"/>
                <w:color w:val="auto"/>
              </w:rPr>
            </w:pPr>
            <w:r>
              <w:rPr>
                <w:rFonts w:ascii="Arial" w:cs="Arial" w:eastAsia="Arial" w:hAnsi="Arial"/>
                <w:sz w:val="17"/>
                <w:szCs w:val="17"/>
                <w:color w:val="auto"/>
              </w:rPr>
              <w:t>(51,564)</w:t>
            </w:r>
          </w:p>
        </w:tc>
      </w:tr>
    </w:tbl>
    <w:p>
      <w:pPr>
        <w:ind w:left="2480" w:hanging="1368"/>
        <w:spacing w:after="0"/>
        <w:tabs>
          <w:tab w:leader="none" w:pos="2480" w:val="left"/>
        </w:tabs>
        <w:numPr>
          <w:ilvl w:val="0"/>
          <w:numId w:val="4"/>
        </w:numPr>
        <w:rPr>
          <w:rFonts w:ascii="Arial" w:cs="Arial" w:eastAsia="Arial" w:hAnsi="Arial"/>
          <w:sz w:val="17"/>
          <w:szCs w:val="17"/>
          <w:b w:val="1"/>
          <w:bCs w:val="1"/>
          <w:color w:val="auto"/>
        </w:rPr>
      </w:pPr>
      <w:r>
        <w:rPr>
          <w:rFonts w:ascii="Arial" w:cs="Arial" w:eastAsia="Arial" w:hAnsi="Arial"/>
          <w:sz w:val="17"/>
          <w:szCs w:val="17"/>
          <w:color w:val="auto"/>
        </w:rPr>
        <w:t>1,107</w:t>
      </w:r>
    </w:p>
    <w:p>
      <w:pPr>
        <w:spacing w:after="0" w:line="2" w:lineRule="exact"/>
        <w:rPr>
          <w:rFonts w:ascii="Arial" w:cs="Arial" w:eastAsia="Arial" w:hAnsi="Arial"/>
          <w:sz w:val="17"/>
          <w:szCs w:val="17"/>
          <w:b w:val="1"/>
          <w:bCs w:val="1"/>
          <w:color w:val="auto"/>
        </w:rPr>
      </w:pPr>
    </w:p>
    <w:p>
      <w:pPr>
        <w:ind w:left="7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295,510</w:t>
      </w:r>
      <w:r>
        <w:rPr>
          <w:rFonts w:ascii="Arial" w:cs="Arial" w:eastAsia="Arial" w:hAnsi="Arial"/>
          <w:sz w:val="16"/>
          <w:szCs w:val="16"/>
          <w:color w:val="auto"/>
        </w:rPr>
        <w:t>263,564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8757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57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18757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Pr>
          <w:p>
            <w:pPr>
              <w:jc w:val="right"/>
              <w:ind w:right="357"/>
              <w:spacing w:after="0"/>
              <w:rPr>
                <w:sz w:val="20"/>
                <w:szCs w:val="20"/>
                <w:color w:val="auto"/>
              </w:rPr>
            </w:pPr>
            <w:r>
              <w:rPr>
                <w:rFonts w:ascii="Arial" w:cs="Arial" w:eastAsia="Arial" w:hAnsi="Arial"/>
                <w:sz w:val="17"/>
                <w:szCs w:val="17"/>
                <w:b w:val="1"/>
                <w:bCs w:val="1"/>
                <w:color w:val="auto"/>
              </w:rPr>
              <w:t>(152,391)</w:t>
            </w:r>
          </w:p>
        </w:tc>
        <w:tc>
          <w:tcPr>
            <w:tcW w:w="1180" w:type="dxa"/>
            <w:vAlign w:val="bottom"/>
          </w:tcPr>
          <w:p>
            <w:pPr>
              <w:jc w:val="right"/>
              <w:spacing w:after="0"/>
              <w:rPr>
                <w:sz w:val="20"/>
                <w:szCs w:val="20"/>
                <w:color w:val="auto"/>
              </w:rPr>
            </w:pPr>
            <w:r>
              <w:rPr>
                <w:rFonts w:ascii="Arial" w:cs="Arial" w:eastAsia="Arial" w:hAnsi="Arial"/>
                <w:sz w:val="17"/>
                <w:szCs w:val="17"/>
                <w:color w:val="auto"/>
              </w:rPr>
              <w:t>(145,622)</w:t>
            </w:r>
          </w:p>
        </w:tc>
      </w:tr>
      <w:tr>
        <w:trPr>
          <w:trHeight w:val="186"/>
        </w:trPr>
        <w:tc>
          <w:tcPr>
            <w:tcW w:w="1760" w:type="dxa"/>
            <w:vAlign w:val="bottom"/>
          </w:tcPr>
          <w:p>
            <w:pPr>
              <w:jc w:val="right"/>
              <w:ind w:right="357"/>
              <w:spacing w:after="0" w:line="186" w:lineRule="exact"/>
              <w:rPr>
                <w:sz w:val="20"/>
                <w:szCs w:val="20"/>
                <w:color w:val="auto"/>
              </w:rPr>
            </w:pPr>
            <w:r>
              <w:rPr>
                <w:rFonts w:ascii="Arial" w:cs="Arial" w:eastAsia="Arial" w:hAnsi="Arial"/>
                <w:sz w:val="17"/>
                <w:szCs w:val="17"/>
                <w:b w:val="1"/>
                <w:bCs w:val="1"/>
                <w:color w:val="auto"/>
              </w:rPr>
              <w:t>75,106</w:t>
            </w: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28,842</w:t>
            </w:r>
          </w:p>
        </w:tc>
      </w:tr>
      <w:tr>
        <w:trPr>
          <w:trHeight w:val="186"/>
        </w:trPr>
        <w:tc>
          <w:tcPr>
            <w:tcW w:w="1760" w:type="dxa"/>
            <w:vAlign w:val="bottom"/>
          </w:tcPr>
          <w:p>
            <w:pPr>
              <w:jc w:val="right"/>
              <w:ind w:right="357"/>
              <w:spacing w:after="0" w:line="186" w:lineRule="exact"/>
              <w:rPr>
                <w:sz w:val="20"/>
                <w:szCs w:val="20"/>
                <w:color w:val="auto"/>
              </w:rPr>
            </w:pPr>
            <w:r>
              <w:rPr>
                <w:rFonts w:ascii="Arial" w:cs="Arial" w:eastAsia="Arial" w:hAnsi="Arial"/>
                <w:sz w:val="17"/>
                <w:szCs w:val="17"/>
                <w:b w:val="1"/>
                <w:bCs w:val="1"/>
                <w:color w:val="auto"/>
              </w:rPr>
              <w:t>(46,324)</w:t>
            </w: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(5,260)</w:t>
            </w:r>
          </w:p>
        </w:tc>
      </w:tr>
      <w:tr>
        <w:trPr>
          <w:trHeight w:val="186"/>
        </w:trPr>
        <w:tc>
          <w:tcPr>
            <w:tcW w:w="1760" w:type="dxa"/>
            <w:vAlign w:val="bottom"/>
          </w:tcPr>
          <w:p>
            <w:pPr>
              <w:jc w:val="right"/>
              <w:ind w:right="357"/>
              <w:spacing w:after="0" w:line="186" w:lineRule="exact"/>
              <w:rPr>
                <w:sz w:val="20"/>
                <w:szCs w:val="20"/>
                <w:color w:val="auto"/>
              </w:rPr>
            </w:pPr>
            <w:r>
              <w:rPr>
                <w:rFonts w:ascii="Arial" w:cs="Arial" w:eastAsia="Arial" w:hAnsi="Arial"/>
                <w:sz w:val="17"/>
                <w:szCs w:val="17"/>
                <w:b w:val="1"/>
                <w:bCs w:val="1"/>
                <w:color w:val="auto"/>
              </w:rPr>
              <w:t>(8,971)</w:t>
            </w: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(79,223)</w:t>
            </w:r>
          </w:p>
        </w:tc>
      </w:tr>
      <w:tr>
        <w:trPr>
          <w:trHeight w:val="207"/>
        </w:trPr>
        <w:tc>
          <w:tcPr>
            <w:tcW w:w="1760" w:type="dxa"/>
            <w:vAlign w:val="bottom"/>
            <w:tcBorders>
              <w:bottom w:val="single" w:sz="8" w:color="auto"/>
            </w:tcBorders>
          </w:tcPr>
          <w:p>
            <w:pPr>
              <w:jc w:val="right"/>
              <w:ind w:right="357"/>
              <w:spacing w:after="0"/>
              <w:rPr>
                <w:sz w:val="20"/>
                <w:szCs w:val="20"/>
                <w:color w:val="auto"/>
              </w:rPr>
            </w:pPr>
            <w:r>
              <w:rPr>
                <w:rFonts w:ascii="Arial" w:cs="Arial" w:eastAsia="Arial" w:hAnsi="Arial"/>
                <w:sz w:val="17"/>
                <w:szCs w:val="17"/>
                <w:b w:val="1"/>
                <w:bCs w:val="1"/>
                <w:color w:val="auto"/>
              </w:rPr>
              <w:t>1,477</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(1,599)</w:t>
            </w:r>
          </w:p>
        </w:tc>
      </w:tr>
      <w:tr>
        <w:trPr>
          <w:trHeight w:val="179"/>
        </w:trPr>
        <w:tc>
          <w:tcPr>
            <w:tcW w:w="1760" w:type="dxa"/>
            <w:vAlign w:val="bottom"/>
            <w:tcBorders>
              <w:bottom w:val="single" w:sz="8" w:color="auto"/>
            </w:tcBorders>
          </w:tcPr>
          <w:p>
            <w:pPr>
              <w:jc w:val="right"/>
              <w:ind w:right="357"/>
              <w:spacing w:after="0" w:line="179" w:lineRule="exact"/>
              <w:rPr>
                <w:sz w:val="20"/>
                <w:szCs w:val="20"/>
                <w:color w:val="auto"/>
              </w:rPr>
            </w:pPr>
            <w:r>
              <w:rPr>
                <w:rFonts w:ascii="Arial" w:cs="Arial" w:eastAsia="Arial" w:hAnsi="Arial"/>
                <w:sz w:val="17"/>
                <w:szCs w:val="17"/>
                <w:b w:val="1"/>
                <w:bCs w:val="1"/>
                <w:color w:val="auto"/>
              </w:rPr>
              <w:t>(131,103)</w:t>
            </w:r>
          </w:p>
        </w:tc>
        <w:tc>
          <w:tcPr>
            <w:tcW w:w="118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color w:val="auto"/>
              </w:rPr>
              <w:t>(202,862)</w:t>
            </w:r>
          </w:p>
        </w:tc>
      </w:tr>
      <w:tr>
        <w:trPr>
          <w:trHeight w:val="530"/>
        </w:trPr>
        <w:tc>
          <w:tcPr>
            <w:tcW w:w="1760" w:type="dxa"/>
            <w:vAlign w:val="bottom"/>
          </w:tcPr>
          <w:p>
            <w:pPr>
              <w:jc w:val="right"/>
              <w:ind w:right="357"/>
              <w:spacing w:after="0"/>
              <w:rPr>
                <w:sz w:val="20"/>
                <w:szCs w:val="20"/>
                <w:color w:val="auto"/>
              </w:rPr>
            </w:pPr>
            <w:r>
              <w:rPr>
                <w:rFonts w:ascii="Arial" w:cs="Arial" w:eastAsia="Arial" w:hAnsi="Arial"/>
                <w:sz w:val="17"/>
                <w:szCs w:val="17"/>
                <w:b w:val="1"/>
                <w:bCs w:val="1"/>
                <w:color w:val="auto"/>
              </w:rPr>
              <w:t>(109,671)</w:t>
            </w: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86"/>
        </w:trPr>
        <w:tc>
          <w:tcPr>
            <w:tcW w:w="1760" w:type="dxa"/>
            <w:vAlign w:val="bottom"/>
          </w:tcPr>
          <w:p>
            <w:pPr>
              <w:jc w:val="right"/>
              <w:ind w:right="357"/>
              <w:spacing w:after="0" w:line="186" w:lineRule="exact"/>
              <w:rPr>
                <w:sz w:val="20"/>
                <w:szCs w:val="20"/>
                <w:color w:val="auto"/>
              </w:rPr>
            </w:pPr>
            <w:r>
              <w:rPr>
                <w:rFonts w:ascii="Arial" w:cs="Arial" w:eastAsia="Arial" w:hAnsi="Arial"/>
                <w:sz w:val="17"/>
                <w:szCs w:val="17"/>
                <w:b w:val="1"/>
                <w:bCs w:val="1"/>
                <w:color w:val="auto"/>
              </w:rPr>
              <w:t>(97,545)</w:t>
            </w: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(179,454)</w:t>
            </w:r>
          </w:p>
        </w:tc>
      </w:tr>
      <w:tr>
        <w:trPr>
          <w:trHeight w:val="206"/>
        </w:trPr>
        <w:tc>
          <w:tcPr>
            <w:tcW w:w="1760" w:type="dxa"/>
            <w:vAlign w:val="bottom"/>
          </w:tcPr>
          <w:p>
            <w:pPr>
              <w:jc w:val="right"/>
              <w:ind w:right="357"/>
              <w:spacing w:after="0"/>
              <w:rPr>
                <w:sz w:val="20"/>
                <w:szCs w:val="20"/>
                <w:color w:val="auto"/>
              </w:rPr>
            </w:pPr>
            <w:r>
              <w:rPr>
                <w:rFonts w:ascii="Arial" w:cs="Arial" w:eastAsia="Arial" w:hAnsi="Arial"/>
                <w:sz w:val="17"/>
                <w:szCs w:val="17"/>
                <w:b w:val="1"/>
                <w:bCs w:val="1"/>
                <w:color w:val="auto"/>
              </w:rPr>
              <w:t>(56,235)</w:t>
            </w:r>
          </w:p>
        </w:tc>
        <w:tc>
          <w:tcPr>
            <w:tcW w:w="1180" w:type="dxa"/>
            <w:vAlign w:val="bottom"/>
          </w:tcPr>
          <w:p>
            <w:pPr>
              <w:jc w:val="right"/>
              <w:spacing w:after="0"/>
              <w:rPr>
                <w:sz w:val="20"/>
                <w:szCs w:val="20"/>
                <w:color w:val="auto"/>
              </w:rPr>
            </w:pPr>
            <w:r>
              <w:rPr>
                <w:rFonts w:ascii="Arial" w:cs="Arial" w:eastAsia="Arial" w:hAnsi="Arial"/>
                <w:sz w:val="17"/>
                <w:szCs w:val="17"/>
                <w:color w:val="auto"/>
              </w:rPr>
              <w:t>(57,126)</w:t>
            </w:r>
          </w:p>
        </w:tc>
      </w:tr>
    </w:tbl>
    <w:p>
      <w:pPr>
        <w:ind w:left="2400" w:hanging="1251"/>
        <w:spacing w:after="0" w:line="228" w:lineRule="auto"/>
        <w:tabs>
          <w:tab w:leader="none" w:pos="240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52,476</w:t>
      </w:r>
    </w:p>
    <w:p>
      <w:pPr>
        <w:ind w:left="80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19,561</w:t>
      </w:r>
      <w:r>
        <w:rPr>
          <w:rFonts w:ascii="Arial" w:cs="Arial" w:eastAsia="Arial" w:hAnsi="Arial"/>
          <w:sz w:val="16"/>
          <w:szCs w:val="16"/>
          <w:color w:val="auto"/>
        </w:rPr>
        <w:t>(1,390)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18757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600"/>
        <w:spacing w:after="0"/>
        <w:tabs>
          <w:tab w:leader="none" w:pos="2180" w:val="left"/>
        </w:tabs>
        <w:rPr>
          <w:sz w:val="20"/>
          <w:szCs w:val="20"/>
          <w:color w:val="auto"/>
        </w:rPr>
      </w:pPr>
      <w:r>
        <w:rPr>
          <w:rFonts w:ascii="Arial" w:cs="Arial" w:eastAsia="Arial" w:hAnsi="Arial"/>
          <w:sz w:val="17"/>
          <w:szCs w:val="17"/>
          <w:b w:val="1"/>
          <w:bCs w:val="1"/>
          <w:color w:val="auto"/>
        </w:rPr>
        <w:t>(243,890)</w:t>
      </w:r>
      <w:r>
        <w:rPr>
          <w:sz w:val="20"/>
          <w:szCs w:val="20"/>
          <w:color w:val="auto"/>
        </w:rPr>
        <w:tab/>
      </w:r>
      <w:r>
        <w:rPr>
          <w:rFonts w:ascii="Arial" w:cs="Arial" w:eastAsia="Arial" w:hAnsi="Arial"/>
          <w:sz w:val="17"/>
          <w:szCs w:val="17"/>
          <w:color w:val="auto"/>
        </w:rPr>
        <w:t>(185,494)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8757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900"/>
        <w:spacing w:after="0"/>
        <w:tabs>
          <w:tab w:leader="none" w:pos="2360" w:val="left"/>
        </w:tabs>
        <w:rPr>
          <w:sz w:val="20"/>
          <w:szCs w:val="20"/>
          <w:color w:val="auto"/>
        </w:rPr>
      </w:pPr>
      <w:r>
        <w:rPr>
          <w:rFonts w:ascii="Arial" w:cs="Arial" w:eastAsia="Arial" w:hAnsi="Arial"/>
          <w:sz w:val="17"/>
          <w:szCs w:val="17"/>
          <w:b w:val="1"/>
          <w:bCs w:val="1"/>
          <w:color w:val="auto"/>
        </w:rPr>
        <w:t>4,038</w:t>
      </w:r>
      <w:r>
        <w:rPr>
          <w:sz w:val="20"/>
          <w:szCs w:val="20"/>
          <w:color w:val="auto"/>
        </w:rPr>
        <w:tab/>
      </w:r>
      <w:r>
        <w:rPr>
          <w:rFonts w:ascii="Arial" w:cs="Arial" w:eastAsia="Arial" w:hAnsi="Arial"/>
          <w:sz w:val="17"/>
          <w:szCs w:val="17"/>
          <w:color w:val="auto"/>
        </w:rPr>
        <w:t>(1,789)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8757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700"/>
        <w:spacing w:after="0" w:line="232" w:lineRule="auto"/>
        <w:tabs>
          <w:tab w:leader="none" w:pos="2180" w:val="left"/>
        </w:tabs>
        <w:rPr>
          <w:sz w:val="20"/>
          <w:szCs w:val="20"/>
          <w:color w:val="auto"/>
        </w:rPr>
      </w:pPr>
      <w:r>
        <w:rPr>
          <w:rFonts w:ascii="Arial" w:cs="Arial" w:eastAsia="Arial" w:hAnsi="Arial"/>
          <w:sz w:val="17"/>
          <w:szCs w:val="17"/>
          <w:b w:val="1"/>
          <w:bCs w:val="1"/>
          <w:color w:val="auto"/>
        </w:rPr>
        <w:t>(75,445)</w:t>
      </w:r>
      <w:r>
        <w:rPr>
          <w:sz w:val="20"/>
          <w:szCs w:val="20"/>
          <w:color w:val="auto"/>
        </w:rPr>
        <w:tab/>
      </w:r>
      <w:r>
        <w:rPr>
          <w:rFonts w:ascii="Arial" w:cs="Arial" w:eastAsia="Arial" w:hAnsi="Arial"/>
          <w:sz w:val="17"/>
          <w:szCs w:val="17"/>
          <w:color w:val="auto"/>
        </w:rPr>
        <w:t>(126,581)</w:t>
      </w:r>
    </w:p>
    <w:p>
      <w:pPr>
        <w:spacing w:after="0" w:line="1" w:lineRule="exact"/>
        <w:rPr>
          <w:sz w:val="20"/>
          <w:szCs w:val="20"/>
          <w:color w:val="auto"/>
        </w:rPr>
      </w:pPr>
    </w:p>
    <w:p>
      <w:pPr>
        <w:ind w:left="720"/>
        <w:spacing w:after="0"/>
        <w:tabs>
          <w:tab w:leader="none" w:pos="2280" w:val="left"/>
        </w:tabs>
        <w:rPr>
          <w:sz w:val="20"/>
          <w:szCs w:val="20"/>
          <w:color w:val="auto"/>
        </w:rPr>
      </w:pPr>
      <w:r>
        <w:rPr>
          <w:rFonts w:ascii="Arial" w:cs="Arial" w:eastAsia="Arial" w:hAnsi="Arial"/>
          <w:sz w:val="17"/>
          <w:szCs w:val="17"/>
          <w:b w:val="1"/>
          <w:bCs w:val="1"/>
          <w:color w:val="auto"/>
        </w:rPr>
        <w:t>381,099</w:t>
      </w:r>
      <w:r>
        <w:rPr>
          <w:sz w:val="20"/>
          <w:szCs w:val="20"/>
          <w:color w:val="auto"/>
        </w:rPr>
        <w:tab/>
      </w:r>
      <w:r>
        <w:rPr>
          <w:rFonts w:ascii="Arial" w:cs="Arial" w:eastAsia="Arial" w:hAnsi="Arial"/>
          <w:sz w:val="17"/>
          <w:szCs w:val="17"/>
          <w:color w:val="auto"/>
        </w:rPr>
        <w:t>437,740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18757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ind w:left="120"/>
        <w:spacing w:after="0"/>
        <w:tabs>
          <w:tab w:leader="none" w:pos="700" w:val="left"/>
          <w:tab w:leader="none" w:pos="1700" w:val="left"/>
          <w:tab w:leader="none" w:pos="228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305,654</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6"/>
          <w:szCs w:val="16"/>
          <w:color w:val="auto"/>
        </w:rPr>
        <w:t>311,159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-4445</wp:posOffset>
            </wp:positionV>
            <wp:extent cx="18757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7579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10795</wp:posOffset>
            </wp:positionV>
            <wp:extent cx="18757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5790" cy="7620"/>
                    </a:xfrm>
                    <a:prstGeom prst="rect">
                      <a:avLst/>
                    </a:prstGeom>
                    <a:noFill/>
                  </pic:spPr>
                </pic:pic>
              </a:graphicData>
            </a:graphic>
          </wp:anchor>
        </w:drawing>
      </w:r>
    </w:p>
    <w:p>
      <w:pPr>
        <w:sectPr>
          <w:pgSz w:w="11900" w:h="16838" w:orient="portrait"/>
          <w:cols w:equalWidth="0" w:num="2">
            <w:col w:w="7760" w:space="720"/>
            <w:col w:w="2940"/>
          </w:cols>
          <w:pgMar w:left="240" w:top="789" w:right="239" w:bottom="1440" w:gutter="0" w:footer="0" w:header="0"/>
          <w:type w:val="continuous"/>
        </w:sectPr>
      </w:pPr>
    </w:p>
    <w:bookmarkStart w:id="6" w:name="page7"/>
    <w:bookmarkEnd w:id="6"/>
    <w:p>
      <w:pPr>
        <w:ind w:left="4260"/>
        <w:spacing w:after="0"/>
        <w:rPr>
          <w:sz w:val="20"/>
          <w:szCs w:val="20"/>
          <w:color w:val="auto"/>
        </w:rPr>
      </w:pPr>
      <w:r>
        <w:rPr>
          <w:rFonts w:ascii="Arial" w:cs="Arial" w:eastAsia="Arial" w:hAnsi="Arial"/>
          <w:sz w:val="17"/>
          <w:szCs w:val="17"/>
          <w:b w:val="1"/>
          <w:bCs w:val="1"/>
          <w:color w:val="auto"/>
        </w:rPr>
        <w:t>THE WASHINGTON POST COMPANY</w:t>
      </w:r>
    </w:p>
    <w:p>
      <w:pPr>
        <w:spacing w:after="0" w:line="177"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ind w:left="5180"/>
        <w:spacing w:after="0"/>
        <w:rPr>
          <w:sz w:val="20"/>
          <w:szCs w:val="20"/>
          <w:color w:val="auto"/>
        </w:rPr>
      </w:pPr>
      <w:r>
        <w:rPr>
          <w:rFonts w:ascii="Arial" w:cs="Arial" w:eastAsia="Arial" w:hAnsi="Arial"/>
          <w:sz w:val="17"/>
          <w:szCs w:val="17"/>
          <w:b w:val="1"/>
          <w:bCs w:val="1"/>
          <w:color w:val="auto"/>
        </w:rPr>
        <w:t>(UNAUDITED)</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BASIS OF PRESENTATION AND RECENT ACCOUNTING PRONOUNCEMENTS</w:t>
      </w:r>
    </w:p>
    <w:p>
      <w:pPr>
        <w:spacing w:after="0" w:line="197"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Washington Post Company, Inc. (the Company) is a diversified education and media company. The Company’s Kaplan subsidiary provides a wide variety of educational services, both domestically and outside the United States. The Company’s media operations consist of the ownership and operation of cable television systems, newspaper publishing (principally The Washington Post), and television broadcasting (through the ownership and operation of six television broadcast stations).</w:t>
      </w:r>
    </w:p>
    <w:p>
      <w:pPr>
        <w:spacing w:after="0" w:line="15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b w:val="1"/>
          <w:bCs w:val="1"/>
          <w:color w:val="auto"/>
        </w:rPr>
        <w:t xml:space="preserve">Financial Periods </w:t>
      </w:r>
      <w:r>
        <w:rPr>
          <w:rFonts w:ascii="Arial" w:cs="Arial" w:eastAsia="Arial" w:hAnsi="Arial"/>
          <w:sz w:val="16"/>
          <w:szCs w:val="16"/>
          <w:color w:val="auto"/>
        </w:rPr>
        <w:t>– In the fourth quarter of 2011, the Company changed its fiscal quarter from a thirteen week quarter ending on the Sunday nearest the</w:t>
      </w:r>
      <w:r>
        <w:rPr>
          <w:rFonts w:ascii="Arial" w:cs="Arial" w:eastAsia="Arial" w:hAnsi="Arial"/>
          <w:sz w:val="16"/>
          <w:szCs w:val="16"/>
          <w:b w:val="1"/>
          <w:bCs w:val="1"/>
          <w:color w:val="auto"/>
        </w:rPr>
        <w:t xml:space="preserve"> </w:t>
      </w:r>
      <w:r>
        <w:rPr>
          <w:rFonts w:ascii="Arial" w:cs="Arial" w:eastAsia="Arial" w:hAnsi="Arial"/>
          <w:sz w:val="16"/>
          <w:szCs w:val="16"/>
          <w:color w:val="auto"/>
        </w:rPr>
        <w:t>calendar quarter-end to a quarterly month end. The fiscal quarters for 2012 and 2011 ended on September 30, 2012, June 30, 2012, March 31, 2012, October 2, 2011, July 3, 2011, and April 3, 2011, respectively. Subsidiaries of the Company report on a calendar-quarter basis, with the exception of most of the newspaper publishing operations, which report on a thirteen week quarter ending on the Sunday nearest the calendar quarter-end.</w:t>
      </w:r>
    </w:p>
    <w:p>
      <w:pPr>
        <w:spacing w:after="0" w:line="14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condensed consolidated financial statements have been prepared in accordance with: (i) generally accepted</w:t>
      </w:r>
      <w:r>
        <w:rPr>
          <w:rFonts w:ascii="Arial" w:cs="Arial" w:eastAsia="Arial" w:hAnsi="Arial"/>
          <w:sz w:val="17"/>
          <w:szCs w:val="17"/>
          <w:b w:val="1"/>
          <w:bCs w:val="1"/>
          <w:color w:val="auto"/>
        </w:rPr>
        <w:t xml:space="preserve"> </w:t>
      </w:r>
      <w:r>
        <w:rPr>
          <w:rFonts w:ascii="Arial" w:cs="Arial" w:eastAsia="Arial" w:hAnsi="Arial"/>
          <w:sz w:val="17"/>
          <w:szCs w:val="17"/>
          <w:color w:val="auto"/>
        </w:rPr>
        <w:t>accounting principles in the United States of America (“GAAP”) for interim financial information; (ii) the instructions to Form 10-Q; and (iii) the guidance of Rule 10-01 of Regulation S-X under the Securities and Exchange Act of 1934, as amended, for financial statements required to be filed with the Securities and Exchange Commission (SEC). They include the assets, liabilities, results of operations and cash flows of the Company, including its domestic and foreign subsidiaries that are more than 50% owned or otherwise controlled by the Company. As permitted under such rules, certain notes and other financial information normally required by GAAP have been condensed or omitted. Management believes the accompanying condensed consolidated financial statements reflect all normal and recurring adjustments necessary for a fair presentation of the Company’s financial position, results of operations, and cash flows as of and for the periods presented herein. The Company’s results of operations for the quarterly periods ended September 30, 2012 and October 2, 2011 may not be indicative of the Company’s future results. These condensed consolidated financial statements are unaudited and should be read in conjunction with the Company’s audited consolidated financial statements and the notes thereto included in the Company’s Annual Report on Form 10-K for the fiscal year ended December 31, 2011.</w:t>
      </w:r>
    </w:p>
    <w:p>
      <w:pPr>
        <w:spacing w:after="0" w:line="175"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The year-end condensed consolidated balance sheet data was derived from audited financial statements, but does not include all disclosures required by GAAP.</w:t>
      </w:r>
    </w:p>
    <w:p>
      <w:pPr>
        <w:spacing w:after="0" w:line="176" w:lineRule="exact"/>
        <w:rPr>
          <w:sz w:val="20"/>
          <w:szCs w:val="20"/>
          <w:color w:val="auto"/>
        </w:rPr>
      </w:pPr>
    </w:p>
    <w:p>
      <w:pPr>
        <w:ind w:right="900"/>
        <w:spacing w:after="0" w:line="260" w:lineRule="auto"/>
        <w:rPr>
          <w:sz w:val="20"/>
          <w:szCs w:val="20"/>
          <w:color w:val="auto"/>
        </w:rPr>
      </w:pPr>
      <w:r>
        <w:rPr>
          <w:rFonts w:ascii="Arial" w:cs="Arial" w:eastAsia="Arial" w:hAnsi="Arial"/>
          <w:sz w:val="16"/>
          <w:szCs w:val="16"/>
          <w:color w:val="auto"/>
        </w:rPr>
        <w:t>Certain amounts in previously issued financial statements have been reclassified to conform to the current year presentation, which includes the reclassification of the results of operations of certain Kaplan and Other businesses as discontinued operations for all periods presented.</w:t>
      </w:r>
    </w:p>
    <w:p>
      <w:pPr>
        <w:spacing w:after="0" w:line="140"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b w:val="1"/>
          <w:bCs w:val="1"/>
          <w:color w:val="auto"/>
        </w:rPr>
        <w:t xml:space="preserve">Use of Estimates in the Preparation of the Condensed Consolidated Financial Statements </w:t>
      </w:r>
      <w:r>
        <w:rPr>
          <w:rFonts w:ascii="Arial" w:cs="Arial" w:eastAsia="Arial" w:hAnsi="Arial"/>
          <w:sz w:val="16"/>
          <w:szCs w:val="16"/>
          <w:color w:val="auto"/>
        </w:rPr>
        <w:t>– The preparation of the condensed consolidated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 conformity with GAAP requires management to make estimates and judgments that affect the amounts reported herein.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w:t>
      </w:r>
    </w:p>
    <w:p>
      <w:pPr>
        <w:spacing w:after="0" w:line="143"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color w:val="auto"/>
        </w:rPr>
        <w:t xml:space="preserve">Discontinued Operations </w:t>
      </w:r>
      <w:r>
        <w:rPr>
          <w:rFonts w:ascii="Arial" w:cs="Arial" w:eastAsia="Arial" w:hAnsi="Arial"/>
          <w:sz w:val="17"/>
          <w:szCs w:val="17"/>
          <w:color w:val="auto"/>
        </w:rPr>
        <w:t>– A business is classified as a discontinued operation when (i) the operations and cash flows of the business can be clearly</w:t>
      </w:r>
      <w:r>
        <w:rPr>
          <w:rFonts w:ascii="Arial" w:cs="Arial" w:eastAsia="Arial" w:hAnsi="Arial"/>
          <w:sz w:val="17"/>
          <w:szCs w:val="17"/>
          <w:b w:val="1"/>
          <w:bCs w:val="1"/>
          <w:color w:val="auto"/>
        </w:rPr>
        <w:t xml:space="preserve"> </w:t>
      </w:r>
      <w:r>
        <w:rPr>
          <w:rFonts w:ascii="Arial" w:cs="Arial" w:eastAsia="Arial" w:hAnsi="Arial"/>
          <w:sz w:val="17"/>
          <w:szCs w:val="17"/>
          <w:color w:val="auto"/>
        </w:rPr>
        <w:t>distinguished and have been or will be eliminated from the Company’s ongoing operations; (ii) the business has either been disposed of or is classified as held for sale; and (iii) the Company will not have any significant continuing involvement in the operations of the business after the disposal transactions. The results of discontinued operations (as well as the gain or loss on the disposal) are aggregated and separately presented in the Company’s condensed consolidated statement of operations, net of income taxes. The assets and related liabilities are aggregated and separately presented in the Company’s condensed consolidated balance sheet.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7" w:name="page8"/>
    <w:bookmarkEnd w:id="7"/>
    <w:p>
      <w:pPr>
        <w:spacing w:after="0" w:line="247" w:lineRule="auto"/>
        <w:rPr>
          <w:sz w:val="20"/>
          <w:szCs w:val="20"/>
          <w:color w:val="auto"/>
        </w:rPr>
      </w:pPr>
      <w:r>
        <w:rPr>
          <w:rFonts w:ascii="Arial" w:cs="Arial" w:eastAsia="Arial" w:hAnsi="Arial"/>
          <w:sz w:val="16"/>
          <w:szCs w:val="16"/>
          <w:b w:val="1"/>
          <w:bCs w:val="1"/>
          <w:color w:val="auto"/>
        </w:rPr>
        <w:t xml:space="preserve">Recently Adopted and Issued Accounting Pronouncements </w:t>
      </w:r>
      <w:r>
        <w:rPr>
          <w:rFonts w:ascii="Arial" w:cs="Arial" w:eastAsia="Arial" w:hAnsi="Arial"/>
          <w:sz w:val="16"/>
          <w:szCs w:val="16"/>
          <w:color w:val="auto"/>
        </w:rPr>
        <w:t>– In June 2011, the Financial Accounting Standards Board (“FASB”) issued an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to increase the prominence of items reported in other comprehensive income. The amendment eliminates the option to present components of other comprehensive income as part of the statement of changes in stockholders' equity and requires that all changes in stockholders' equity be presented either in a single continuous statement of comprehensive income or in two separate but consecutive statements. In addition, the amendment requires companies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The amendment does not affect how earnings per share is calculated or presented. This amendment is effective for interim and fiscal years beginning after December 15, 2011 and must be applied retrospectively. In December 2011, the FASB deferred the requirements related to the presentation of reclassification adjustments until further deliberations have taken place. Entities should continue to report reclassifications out of accumulated other comprehensive income consistent with the presentation requirements in effect prior to the issuance of the June 2011 amended standard. The adoption of the amendment not deferred by the FASB in the first quarter of 2012 is reflected in the Company’s Condensed Consolidated Statements of Comprehensive Income.</w:t>
      </w:r>
    </w:p>
    <w:p>
      <w:pPr>
        <w:spacing w:after="0" w:line="171"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In July 2012, the FASB issued new guidance that amends the current indefinite-lived intangible assets impairment testing process. The new guidance permits an entity to first assess qualitative factors to determine whether it is more likely than not that the fair value of its indefinite-lived intangible assets is less than its carrying amount as a basis for determining whether it is necessary to perform the quantitative impairment test. Previous guidance required an entity to test indefinite-lived intangible assets for impairment, on at least an annual basis, by comparing the fair value of an indefinite-lived intangible asset with its carrying amount. The new guidance is effective for annual and interim impairment tests performed for fiscal years beginning after September 15, 2012. Early adoption is permitted if an entity’s financial statements for the most recent period have not yet been issued. The Company plans to early adopt this guidance at the beginning of the fourth quarter of 2012 and the guidance will not have an effect on the Company’s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DISCONTINUED OPERATIONS</w:t>
      </w:r>
    </w:p>
    <w:p>
      <w:pPr>
        <w:spacing w:after="0" w:line="197"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In August 2012, the Company completed the sale of Kidum and recorded a pre-tax gain of $3.6 million and an after-tax gain of $10.2 million related to this sale in the third quarter of 2012. On July 31, 2012, the Company disposed of its interest in Avenue100 Media Solutions, Inc. and recorded a pre-tax loss of $5.7 million related to the disposition. An income tax benefit of $44.5 million was also recorded in the third quarter of 2012 as the Company determined that Avenue100 has no value. The income tax benefit is due to the Company’s tax basis in the stock of Avenue100 exceeding its net book value, as a result of goodwill and other intangible asset impairment charges recorded in 2008, 2010 and 2011 for which no tax benefit was previously recorded. This activity is included in Income (Loss) from Discontinued Operations, Net of Tax in the Company’s Condensed Consolidated Statement of Operations for the three and nine months ended September 30, 2012.</w:t>
      </w:r>
    </w:p>
    <w:p>
      <w:pPr>
        <w:spacing w:after="0" w:line="178"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April 2012, the Company completed the sale of Kaplan EduNeering. Under the terms of the agreement, the purchaser acquired the stock of EduNeering and received substantially all the assets and liabilities. In the second quarter of 2012, the Company recorded an after-tax gain of $ 18.5 million related to this sale, subject to final net working capital adjustments, which is included in Income (Loss) from Discontinued Operations, Net of Tax in the Company’s Condensed Consolidated Statement of Operations for the nine months ended September 30, 2012. In February 2012, Kaplan completed the stock sale of Kaplan Learning Technologies (KLT) and recorded an after-tax loss on the sale of $1.9 million, which is included in Income (Loss) from Discontinued Operations, Net of Tax in the Company’s Condensed Consolidated Statement of Operations for the nine months ended September 30, 2012.</w:t>
      </w:r>
    </w:p>
    <w:p>
      <w:pPr>
        <w:spacing w:after="0" w:line="17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Company recorded $23.2 million of income tax benefits in the first quarter of 2012 in connection with the sale of its stock in EduNeering and KLT related to the excess of the outside stock tax basis over the net book value of the net assets disposed.</w:t>
      </w:r>
    </w:p>
    <w:p>
      <w:pPr>
        <w:spacing w:after="0" w:line="176"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In October 2011, Kaplan completed the sale of Kaplan Compliance Solutions (KCS) and in July 2011, Kaplan completed the sale of Kaplan Virtual Education (KVE). The results of operations of Kidum, Avenue100, EduNeering, KLT, KCS and KVE, for the third quarter and first nine months of 2012 and 2011, where applicable, are included in the Company’s Condensed Consolidated Statements of Operations as Income (Loss) from Discontinued Operations, Net of Tax. All corresponding prior period operating results presented in the Company’s condensed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8" w:name="page9"/>
    <w:bookmarkEnd w:id="8"/>
    <w:p>
      <w:pPr>
        <w:ind w:right="580"/>
        <w:spacing w:after="0" w:line="260" w:lineRule="auto"/>
        <w:rPr>
          <w:sz w:val="20"/>
          <w:szCs w:val="20"/>
          <w:color w:val="auto"/>
        </w:rPr>
      </w:pPr>
      <w:r>
        <w:rPr>
          <w:rFonts w:ascii="Arial" w:cs="Arial" w:eastAsia="Arial" w:hAnsi="Arial"/>
          <w:sz w:val="16"/>
          <w:szCs w:val="16"/>
          <w:color w:val="auto"/>
        </w:rPr>
        <w:t>and the accompanying notes have been reclassified to reflect the discontinued operations presented. The Company did not reclassify its Condensed Consolidated Statements of Cash Flows or prior year Condensed Consolidated Balance Sheet to reflect the discontinued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The summarized income (loss) from discontinued operations, net of tax, is presented below:</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3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3"/>
          </w:tcPr>
          <w:p>
            <w:pPr>
              <w:jc w:val="right"/>
              <w:ind w:right="748"/>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1380" w:type="dxa"/>
            <w:vAlign w:val="bottom"/>
            <w:gridSpan w:val="2"/>
          </w:tcPr>
          <w:p>
            <w:pPr>
              <w:jc w:val="right"/>
              <w:ind w:right="248"/>
              <w:spacing w:after="0" w:line="114" w:lineRule="exact"/>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9"/>
                <w:szCs w:val="9"/>
                <w:color w:val="auto"/>
              </w:rPr>
            </w:pPr>
          </w:p>
        </w:tc>
        <w:tc>
          <w:tcPr>
            <w:tcW w:w="1080" w:type="dxa"/>
            <w:vAlign w:val="bottom"/>
          </w:tcPr>
          <w:p>
            <w:pPr>
              <w:jc w:val="right"/>
              <w:ind w:right="388"/>
              <w:spacing w:after="0" w:line="114" w:lineRule="exact"/>
              <w:rPr>
                <w:sz w:val="20"/>
                <w:szCs w:val="20"/>
                <w:color w:val="auto"/>
              </w:rPr>
            </w:pPr>
            <w:r>
              <w:rPr>
                <w:rFonts w:ascii="Arial" w:cs="Arial" w:eastAsia="Arial" w:hAnsi="Arial"/>
                <w:sz w:val="12"/>
                <w:szCs w:val="12"/>
                <w:color w:val="auto"/>
              </w:rPr>
              <w:t>October 2,</w:t>
            </w:r>
          </w:p>
        </w:tc>
        <w:tc>
          <w:tcPr>
            <w:tcW w:w="1240" w:type="dxa"/>
            <w:vAlign w:val="bottom"/>
            <w:gridSpan w:val="2"/>
          </w:tcPr>
          <w:p>
            <w:pPr>
              <w:ind w:left="140"/>
              <w:spacing w:after="0" w:line="114" w:lineRule="exact"/>
              <w:rPr>
                <w:sz w:val="20"/>
                <w:szCs w:val="20"/>
                <w:color w:val="auto"/>
              </w:rPr>
            </w:pPr>
            <w:r>
              <w:rPr>
                <w:rFonts w:ascii="Arial" w:cs="Arial" w:eastAsia="Arial" w:hAnsi="Arial"/>
                <w:sz w:val="12"/>
                <w:szCs w:val="12"/>
                <w:b w:val="1"/>
                <w:bCs w:val="1"/>
                <w:color w:val="auto"/>
              </w:rPr>
              <w:t>September 30,</w:t>
            </w:r>
          </w:p>
        </w:tc>
        <w:tc>
          <w:tcPr>
            <w:tcW w:w="240" w:type="dxa"/>
            <w:vAlign w:val="bottom"/>
          </w:tcPr>
          <w:p>
            <w:pPr>
              <w:spacing w:after="0"/>
              <w:rPr>
                <w:sz w:val="9"/>
                <w:szCs w:val="9"/>
                <w:color w:val="auto"/>
              </w:rPr>
            </w:pPr>
          </w:p>
        </w:tc>
        <w:tc>
          <w:tcPr>
            <w:tcW w:w="880" w:type="dxa"/>
            <w:vAlign w:val="bottom"/>
          </w:tcPr>
          <w:p>
            <w:pPr>
              <w:jc w:val="right"/>
              <w:ind w:right="188"/>
              <w:spacing w:after="0" w:line="114" w:lineRule="exact"/>
              <w:rPr>
                <w:sz w:val="20"/>
                <w:szCs w:val="20"/>
                <w:color w:val="auto"/>
              </w:rPr>
            </w:pPr>
            <w:r>
              <w:rPr>
                <w:rFonts w:ascii="Arial" w:cs="Arial" w:eastAsia="Arial" w:hAnsi="Arial"/>
                <w:sz w:val="12"/>
                <w:szCs w:val="12"/>
                <w:color w:val="auto"/>
              </w:rPr>
              <w:t>October 2,</w:t>
            </w:r>
          </w:p>
        </w:tc>
        <w:tc>
          <w:tcPr>
            <w:tcW w:w="0" w:type="dxa"/>
            <w:vAlign w:val="bottom"/>
          </w:tcPr>
          <w:p>
            <w:pPr>
              <w:spacing w:after="0"/>
              <w:rPr>
                <w:sz w:val="1"/>
                <w:szCs w:val="1"/>
                <w:color w:val="auto"/>
              </w:rPr>
            </w:pPr>
          </w:p>
        </w:tc>
      </w:tr>
      <w:tr>
        <w:trPr>
          <w:trHeight w:val="151"/>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b w:val="1"/>
                <w:bCs w:val="1"/>
                <w:color w:val="auto"/>
              </w:rPr>
              <w:t>2012</w:t>
            </w: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48"/>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b w:val="1"/>
                <w:bCs w:val="1"/>
                <w:color w:val="auto"/>
              </w:rPr>
              <w:t>2012</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color w:val="auto"/>
              </w:rPr>
              <w:t>Operating revenues</w:t>
            </w:r>
          </w:p>
        </w:tc>
        <w:tc>
          <w:tcPr>
            <w:tcW w:w="360" w:type="dxa"/>
            <w:vAlign w:val="bottom"/>
          </w:tcPr>
          <w:p>
            <w:pPr>
              <w:jc w:val="right"/>
              <w:ind w:right="50"/>
              <w:spacing w:after="0" w:line="150" w:lineRule="exact"/>
              <w:rPr>
                <w:sz w:val="20"/>
                <w:szCs w:val="20"/>
                <w:color w:val="auto"/>
              </w:rPr>
            </w:pPr>
            <w:r>
              <w:rPr>
                <w:rFonts w:ascii="Arial" w:cs="Arial" w:eastAsia="Arial" w:hAnsi="Arial"/>
                <w:sz w:val="15"/>
                <w:szCs w:val="15"/>
                <w:b w:val="1"/>
                <w:bCs w:val="1"/>
                <w:color w:val="auto"/>
              </w:rPr>
              <w:t>$</w:t>
            </w:r>
          </w:p>
        </w:tc>
        <w:tc>
          <w:tcPr>
            <w:tcW w:w="102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4,861</w:t>
            </w:r>
          </w:p>
        </w:tc>
        <w:tc>
          <w:tcPr>
            <w:tcW w:w="30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23,956</w:t>
            </w:r>
          </w:p>
        </w:tc>
        <w:tc>
          <w:tcPr>
            <w:tcW w:w="320" w:type="dxa"/>
            <w:vAlign w:val="bottom"/>
          </w:tcPr>
          <w:p>
            <w:pPr>
              <w:ind w:left="140"/>
              <w:spacing w:after="0" w:line="150" w:lineRule="exact"/>
              <w:rPr>
                <w:sz w:val="20"/>
                <w:szCs w:val="20"/>
                <w:color w:val="auto"/>
              </w:rPr>
            </w:pPr>
            <w:r>
              <w:rPr>
                <w:rFonts w:ascii="Arial" w:cs="Arial" w:eastAsia="Arial" w:hAnsi="Arial"/>
                <w:sz w:val="15"/>
                <w:szCs w:val="15"/>
                <w:b w:val="1"/>
                <w:bCs w:val="1"/>
                <w:color w:val="auto"/>
              </w:rPr>
              <w:t>$</w:t>
            </w: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35,342</w:t>
            </w:r>
          </w:p>
        </w:tc>
        <w:tc>
          <w:tcPr>
            <w:tcW w:w="2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95,219</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20"/>
                <w:szCs w:val="20"/>
                <w:color w:val="auto"/>
              </w:rPr>
            </w:pPr>
            <w:r>
              <w:rPr>
                <w:rFonts w:ascii="Arial" w:cs="Arial" w:eastAsia="Arial" w:hAnsi="Arial"/>
                <w:sz w:val="15"/>
                <w:szCs w:val="15"/>
                <w:color w:val="auto"/>
              </w:rPr>
              <w:t>Operating costs and expenses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(5,579)</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(44,359)</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(42,583)</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(131,096)</w:t>
            </w:r>
          </w:p>
        </w:tc>
        <w:tc>
          <w:tcPr>
            <w:tcW w:w="0" w:type="dxa"/>
            <w:vAlign w:val="bottom"/>
          </w:tcPr>
          <w:p>
            <w:pPr>
              <w:spacing w:after="0"/>
              <w:rPr>
                <w:sz w:val="1"/>
                <w:szCs w:val="1"/>
                <w:color w:val="auto"/>
              </w:rPr>
            </w:pP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color w:val="auto"/>
              </w:rPr>
              <w:t>Loss from discontinued operations</w:t>
            </w:r>
          </w:p>
        </w:tc>
        <w:tc>
          <w:tcPr>
            <w:tcW w:w="360" w:type="dxa"/>
            <w:vAlign w:val="bottom"/>
          </w:tcPr>
          <w:p>
            <w:pPr>
              <w:spacing w:after="0"/>
              <w:rPr>
                <w:sz w:val="13"/>
                <w:szCs w:val="13"/>
                <w:color w:val="auto"/>
              </w:rPr>
            </w:pPr>
          </w:p>
        </w:tc>
        <w:tc>
          <w:tcPr>
            <w:tcW w:w="102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(718)</w:t>
            </w:r>
          </w:p>
        </w:tc>
        <w:tc>
          <w:tcPr>
            <w:tcW w:w="300" w:type="dxa"/>
            <w:vAlign w:val="bottom"/>
          </w:tcPr>
          <w:p>
            <w:pPr>
              <w:spacing w:after="0"/>
              <w:rPr>
                <w:sz w:val="13"/>
                <w:szCs w:val="13"/>
                <w:color w:val="auto"/>
              </w:rPr>
            </w:pPr>
          </w:p>
        </w:tc>
        <w:tc>
          <w:tcPr>
            <w:tcW w:w="10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(20,403)</w:t>
            </w:r>
          </w:p>
        </w:tc>
        <w:tc>
          <w:tcPr>
            <w:tcW w:w="320" w:type="dxa"/>
            <w:vAlign w:val="bottom"/>
          </w:tcPr>
          <w:p>
            <w:pPr>
              <w:spacing w:after="0"/>
              <w:rPr>
                <w:sz w:val="13"/>
                <w:szCs w:val="13"/>
                <w:color w:val="auto"/>
              </w:rPr>
            </w:pP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(7,241)</w:t>
            </w:r>
          </w:p>
        </w:tc>
        <w:tc>
          <w:tcPr>
            <w:tcW w:w="24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(35,877)</w:t>
            </w:r>
          </w:p>
        </w:tc>
        <w:tc>
          <w:tcPr>
            <w:tcW w:w="0" w:type="dxa"/>
            <w:vAlign w:val="bottom"/>
          </w:tcPr>
          <w:p>
            <w:pPr>
              <w:spacing w:after="0"/>
              <w:rPr>
                <w:sz w:val="1"/>
                <w:szCs w:val="1"/>
                <w:color w:val="auto"/>
              </w:rPr>
            </w:pPr>
          </w:p>
        </w:tc>
      </w:tr>
      <w:tr>
        <w:trPr>
          <w:trHeight w:val="190"/>
        </w:trPr>
        <w:tc>
          <w:tcPr>
            <w:tcW w:w="6300" w:type="dxa"/>
            <w:vAlign w:val="bottom"/>
          </w:tcPr>
          <w:p>
            <w:pPr>
              <w:spacing w:after="0"/>
              <w:rPr>
                <w:sz w:val="20"/>
                <w:szCs w:val="20"/>
                <w:color w:val="auto"/>
              </w:rPr>
            </w:pPr>
            <w:r>
              <w:rPr>
                <w:rFonts w:ascii="Arial" w:cs="Arial" w:eastAsia="Arial" w:hAnsi="Arial"/>
                <w:sz w:val="15"/>
                <w:szCs w:val="15"/>
                <w:color w:val="auto"/>
              </w:rPr>
              <w:t>Provision for (benefit from) income taxes</w:t>
            </w: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232</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(2,782)</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(2,068)</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(8,282)</w:t>
            </w:r>
          </w:p>
        </w:tc>
        <w:tc>
          <w:tcPr>
            <w:tcW w:w="0" w:type="dxa"/>
            <w:vAlign w:val="bottom"/>
          </w:tcPr>
          <w:p>
            <w:pPr>
              <w:spacing w:after="0"/>
              <w:rPr>
                <w:sz w:val="1"/>
                <w:szCs w:val="1"/>
                <w:color w:val="auto"/>
              </w:rPr>
            </w:pPr>
          </w:p>
        </w:tc>
      </w:tr>
      <w:tr>
        <w:trPr>
          <w:trHeight w:val="150"/>
        </w:trPr>
        <w:tc>
          <w:tcPr>
            <w:tcW w:w="6300" w:type="dxa"/>
            <w:vAlign w:val="bottom"/>
          </w:tcPr>
          <w:p>
            <w:pPr>
              <w:spacing w:after="0" w:line="150" w:lineRule="exact"/>
              <w:rPr>
                <w:sz w:val="20"/>
                <w:szCs w:val="20"/>
                <w:color w:val="auto"/>
              </w:rPr>
            </w:pPr>
            <w:r>
              <w:rPr>
                <w:rFonts w:ascii="Arial" w:cs="Arial" w:eastAsia="Arial" w:hAnsi="Arial"/>
                <w:sz w:val="15"/>
                <w:szCs w:val="15"/>
                <w:b w:val="1"/>
                <w:bCs w:val="1"/>
                <w:color w:val="auto"/>
              </w:rPr>
              <w:t>Net Loss from Discontinued Operations</w:t>
            </w:r>
          </w:p>
        </w:tc>
        <w:tc>
          <w:tcPr>
            <w:tcW w:w="360" w:type="dxa"/>
            <w:vAlign w:val="bottom"/>
          </w:tcPr>
          <w:p>
            <w:pPr>
              <w:spacing w:after="0"/>
              <w:rPr>
                <w:sz w:val="13"/>
                <w:szCs w:val="13"/>
                <w:color w:val="auto"/>
              </w:rPr>
            </w:pPr>
          </w:p>
        </w:tc>
        <w:tc>
          <w:tcPr>
            <w:tcW w:w="102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(950)</w:t>
            </w:r>
          </w:p>
        </w:tc>
        <w:tc>
          <w:tcPr>
            <w:tcW w:w="300" w:type="dxa"/>
            <w:vAlign w:val="bottom"/>
          </w:tcPr>
          <w:p>
            <w:pPr>
              <w:spacing w:after="0"/>
              <w:rPr>
                <w:sz w:val="13"/>
                <w:szCs w:val="13"/>
                <w:color w:val="auto"/>
              </w:rPr>
            </w:pPr>
          </w:p>
        </w:tc>
        <w:tc>
          <w:tcPr>
            <w:tcW w:w="1080" w:type="dxa"/>
            <w:vAlign w:val="bottom"/>
          </w:tcPr>
          <w:p>
            <w:pPr>
              <w:jc w:val="right"/>
              <w:ind w:right="88"/>
              <w:spacing w:after="0" w:line="150" w:lineRule="exact"/>
              <w:rPr>
                <w:sz w:val="20"/>
                <w:szCs w:val="20"/>
                <w:color w:val="auto"/>
              </w:rPr>
            </w:pPr>
            <w:r>
              <w:rPr>
                <w:rFonts w:ascii="Arial" w:cs="Arial" w:eastAsia="Arial" w:hAnsi="Arial"/>
                <w:sz w:val="15"/>
                <w:szCs w:val="15"/>
                <w:color w:val="auto"/>
              </w:rPr>
              <w:t>(17,621)</w:t>
            </w:r>
          </w:p>
        </w:tc>
        <w:tc>
          <w:tcPr>
            <w:tcW w:w="320" w:type="dxa"/>
            <w:vAlign w:val="bottom"/>
          </w:tcPr>
          <w:p>
            <w:pPr>
              <w:spacing w:after="0"/>
              <w:rPr>
                <w:sz w:val="13"/>
                <w:szCs w:val="13"/>
                <w:color w:val="auto"/>
              </w:rPr>
            </w:pPr>
          </w:p>
        </w:tc>
        <w:tc>
          <w:tcPr>
            <w:tcW w:w="920" w:type="dxa"/>
            <w:vAlign w:val="bottom"/>
          </w:tcPr>
          <w:p>
            <w:pPr>
              <w:jc w:val="right"/>
              <w:ind w:right="88"/>
              <w:spacing w:after="0" w:line="150" w:lineRule="exact"/>
              <w:rPr>
                <w:sz w:val="20"/>
                <w:szCs w:val="20"/>
                <w:color w:val="auto"/>
              </w:rPr>
            </w:pPr>
            <w:r>
              <w:rPr>
                <w:rFonts w:ascii="Arial" w:cs="Arial" w:eastAsia="Arial" w:hAnsi="Arial"/>
                <w:sz w:val="15"/>
                <w:szCs w:val="15"/>
                <w:b w:val="1"/>
                <w:bCs w:val="1"/>
                <w:color w:val="auto"/>
              </w:rPr>
              <w:t>(5,173)</w:t>
            </w:r>
          </w:p>
        </w:tc>
        <w:tc>
          <w:tcPr>
            <w:tcW w:w="240" w:type="dxa"/>
            <w:vAlign w:val="bottom"/>
          </w:tcPr>
          <w:p>
            <w:pPr>
              <w:spacing w:after="0"/>
              <w:rPr>
                <w:sz w:val="13"/>
                <w:szCs w:val="13"/>
                <w:color w:val="auto"/>
              </w:rPr>
            </w:pPr>
          </w:p>
        </w:tc>
        <w:tc>
          <w:tcPr>
            <w:tcW w:w="880" w:type="dxa"/>
            <w:vAlign w:val="bottom"/>
          </w:tcPr>
          <w:p>
            <w:pPr>
              <w:jc w:val="right"/>
              <w:spacing w:after="0" w:line="150" w:lineRule="exact"/>
              <w:rPr>
                <w:sz w:val="20"/>
                <w:szCs w:val="20"/>
                <w:color w:val="auto"/>
              </w:rPr>
            </w:pPr>
            <w:r>
              <w:rPr>
                <w:rFonts w:ascii="Arial" w:cs="Arial" w:eastAsia="Arial" w:hAnsi="Arial"/>
                <w:sz w:val="15"/>
                <w:szCs w:val="15"/>
                <w:color w:val="auto"/>
              </w:rPr>
              <w:t>(27,595)</w:t>
            </w:r>
          </w:p>
        </w:tc>
        <w:tc>
          <w:tcPr>
            <w:tcW w:w="0" w:type="dxa"/>
            <w:vAlign w:val="bottom"/>
          </w:tcPr>
          <w:p>
            <w:pPr>
              <w:spacing w:after="0"/>
              <w:rPr>
                <w:sz w:val="1"/>
                <w:szCs w:val="1"/>
                <w:color w:val="auto"/>
              </w:rPr>
            </w:pPr>
          </w:p>
        </w:tc>
      </w:tr>
      <w:tr>
        <w:trPr>
          <w:trHeight w:val="192"/>
        </w:trPr>
        <w:tc>
          <w:tcPr>
            <w:tcW w:w="6300" w:type="dxa"/>
            <w:vAlign w:val="bottom"/>
          </w:tcPr>
          <w:p>
            <w:pPr>
              <w:spacing w:after="0"/>
              <w:rPr>
                <w:sz w:val="20"/>
                <w:szCs w:val="20"/>
                <w:color w:val="auto"/>
              </w:rPr>
            </w:pPr>
            <w:r>
              <w:rPr>
                <w:rFonts w:ascii="Arial" w:cs="Arial" w:eastAsia="Arial" w:hAnsi="Arial"/>
                <w:sz w:val="15"/>
                <w:szCs w:val="15"/>
                <w:color w:val="auto"/>
              </w:rPr>
              <w:t>(Loss) gain on sales and disposition of discontinued operations</w:t>
            </w:r>
          </w:p>
        </w:tc>
        <w:tc>
          <w:tcPr>
            <w:tcW w:w="360" w:type="dxa"/>
            <w:vAlign w:val="bottom"/>
          </w:tcPr>
          <w:p>
            <w:pPr>
              <w:spacing w:after="0"/>
              <w:rPr>
                <w:sz w:val="16"/>
                <w:szCs w:val="16"/>
                <w:color w:val="auto"/>
              </w:rPr>
            </w:pPr>
          </w:p>
        </w:tc>
        <w:tc>
          <w:tcPr>
            <w:tcW w:w="1020" w:type="dxa"/>
            <w:vAlign w:val="bottom"/>
          </w:tcPr>
          <w:p>
            <w:pPr>
              <w:jc w:val="right"/>
              <w:ind w:right="88"/>
              <w:spacing w:after="0"/>
              <w:rPr>
                <w:sz w:val="20"/>
                <w:szCs w:val="20"/>
                <w:color w:val="auto"/>
              </w:rPr>
            </w:pPr>
            <w:r>
              <w:rPr>
                <w:rFonts w:ascii="Arial" w:cs="Arial" w:eastAsia="Arial" w:hAnsi="Arial"/>
                <w:sz w:val="15"/>
                <w:szCs w:val="15"/>
                <w:b w:val="1"/>
                <w:bCs w:val="1"/>
                <w:color w:val="auto"/>
              </w:rPr>
              <w:t>(2,174)</w:t>
            </w:r>
          </w:p>
        </w:tc>
        <w:tc>
          <w:tcPr>
            <w:tcW w:w="300" w:type="dxa"/>
            <w:vAlign w:val="bottom"/>
          </w:tcPr>
          <w:p>
            <w:pPr>
              <w:spacing w:after="0"/>
              <w:rPr>
                <w:sz w:val="16"/>
                <w:szCs w:val="16"/>
                <w:color w:val="auto"/>
              </w:rPr>
            </w:pPr>
          </w:p>
        </w:tc>
        <w:tc>
          <w:tcPr>
            <w:tcW w:w="1080" w:type="dxa"/>
            <w:vAlign w:val="bottom"/>
          </w:tcPr>
          <w:p>
            <w:pPr>
              <w:jc w:val="right"/>
              <w:ind w:right="88"/>
              <w:spacing w:after="0"/>
              <w:rPr>
                <w:sz w:val="20"/>
                <w:szCs w:val="20"/>
                <w:color w:val="auto"/>
              </w:rPr>
            </w:pPr>
            <w:r>
              <w:rPr>
                <w:rFonts w:ascii="Arial" w:cs="Arial" w:eastAsia="Arial" w:hAnsi="Arial"/>
                <w:sz w:val="15"/>
                <w:szCs w:val="15"/>
                <w:color w:val="auto"/>
              </w:rPr>
              <w:t>516</w:t>
            </w:r>
          </w:p>
        </w:tc>
        <w:tc>
          <w:tcPr>
            <w:tcW w:w="32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5"/>
                <w:szCs w:val="15"/>
                <w:b w:val="1"/>
                <w:bCs w:val="1"/>
                <w:color w:val="auto"/>
              </w:rPr>
              <w:t>23,759</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516</w:t>
            </w:r>
          </w:p>
        </w:tc>
        <w:tc>
          <w:tcPr>
            <w:tcW w:w="0" w:type="dxa"/>
            <w:vAlign w:val="bottom"/>
          </w:tcPr>
          <w:p>
            <w:pPr>
              <w:spacing w:after="0"/>
              <w:rPr>
                <w:sz w:val="1"/>
                <w:szCs w:val="1"/>
                <w:color w:val="auto"/>
              </w:rPr>
            </w:pPr>
          </w:p>
        </w:tc>
      </w:tr>
      <w:tr>
        <w:trPr>
          <w:trHeight w:val="174"/>
        </w:trPr>
        <w:tc>
          <w:tcPr>
            <w:tcW w:w="6300" w:type="dxa"/>
            <w:vAlign w:val="bottom"/>
          </w:tcPr>
          <w:p>
            <w:pPr>
              <w:spacing w:after="0"/>
              <w:rPr>
                <w:sz w:val="20"/>
                <w:szCs w:val="20"/>
                <w:color w:val="auto"/>
              </w:rPr>
            </w:pPr>
            <w:r>
              <w:rPr>
                <w:rFonts w:ascii="Arial" w:cs="Arial" w:eastAsia="Arial" w:hAnsi="Arial"/>
                <w:sz w:val="15"/>
                <w:szCs w:val="15"/>
                <w:color w:val="auto"/>
              </w:rPr>
              <w:t>(Benefit from) provision for income taxes on sales and disposition</w:t>
            </w:r>
          </w:p>
        </w:tc>
        <w:tc>
          <w:tcPr>
            <w:tcW w:w="360" w:type="dxa"/>
            <w:vAlign w:val="bottom"/>
          </w:tcPr>
          <w:p>
            <w:pPr>
              <w:spacing w:after="0"/>
              <w:rPr>
                <w:sz w:val="15"/>
                <w:szCs w:val="15"/>
                <w:color w:val="auto"/>
              </w:rPr>
            </w:pPr>
          </w:p>
        </w:tc>
        <w:tc>
          <w:tcPr>
            <w:tcW w:w="10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(52,178)</w:t>
            </w: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(64,591)</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300" w:type="dxa"/>
            <w:vAlign w:val="bottom"/>
          </w:tcPr>
          <w:p>
            <w:pPr>
              <w:ind w:left="240"/>
              <w:spacing w:after="0"/>
              <w:rPr>
                <w:sz w:val="20"/>
                <w:szCs w:val="20"/>
                <w:color w:val="auto"/>
              </w:rPr>
            </w:pPr>
            <w:r>
              <w:rPr>
                <w:rFonts w:ascii="Arial" w:cs="Arial" w:eastAsia="Arial" w:hAnsi="Arial"/>
                <w:sz w:val="15"/>
                <w:szCs w:val="15"/>
                <w:color w:val="auto"/>
              </w:rPr>
              <w:t>of discontinued operations</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1,683</w:t>
            </w: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1,683</w:t>
            </w:r>
          </w:p>
        </w:tc>
        <w:tc>
          <w:tcPr>
            <w:tcW w:w="0" w:type="dxa"/>
            <w:vAlign w:val="bottom"/>
          </w:tcPr>
          <w:p>
            <w:pPr>
              <w:spacing w:after="0"/>
              <w:rPr>
                <w:sz w:val="1"/>
                <w:szCs w:val="1"/>
                <w:color w:val="auto"/>
              </w:rPr>
            </w:pPr>
          </w:p>
        </w:tc>
      </w:tr>
      <w:tr>
        <w:trPr>
          <w:trHeight w:val="166"/>
        </w:trPr>
        <w:tc>
          <w:tcPr>
            <w:tcW w:w="6300" w:type="dxa"/>
            <w:vAlign w:val="bottom"/>
          </w:tcPr>
          <w:p>
            <w:pPr>
              <w:spacing w:after="0" w:line="167" w:lineRule="exact"/>
              <w:rPr>
                <w:sz w:val="20"/>
                <w:szCs w:val="20"/>
                <w:color w:val="auto"/>
              </w:rPr>
            </w:pPr>
            <w:r>
              <w:rPr>
                <w:rFonts w:ascii="Arial" w:cs="Arial" w:eastAsia="Arial" w:hAnsi="Arial"/>
                <w:sz w:val="15"/>
                <w:szCs w:val="15"/>
                <w:b w:val="1"/>
                <w:bCs w:val="1"/>
                <w:color w:val="auto"/>
              </w:rPr>
              <w:t>Income (Loss) from Discontinued Operations, Net of Tax</w:t>
            </w:r>
          </w:p>
        </w:tc>
        <w:tc>
          <w:tcPr>
            <w:tcW w:w="360" w:type="dxa"/>
            <w:vAlign w:val="bottom"/>
            <w:tcBorders>
              <w:bottom w:val="single" w:sz="8" w:color="auto"/>
            </w:tcBorders>
          </w:tcPr>
          <w:p>
            <w:pPr>
              <w:jc w:val="right"/>
              <w:ind w:right="50"/>
              <w:spacing w:after="0" w:line="167" w:lineRule="exact"/>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49,054</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color w:val="auto"/>
              </w:rPr>
              <w:t>(18,788)</w:t>
            </w:r>
          </w:p>
        </w:tc>
        <w:tc>
          <w:tcPr>
            <w:tcW w:w="320" w:type="dxa"/>
            <w:vAlign w:val="bottom"/>
            <w:tcBorders>
              <w:bottom w:val="single" w:sz="8" w:color="auto"/>
            </w:tcBorders>
          </w:tcPr>
          <w:p>
            <w:pPr>
              <w:ind w:left="140"/>
              <w:spacing w:after="0" w:line="167" w:lineRule="exact"/>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83,177</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8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(28,762)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360"/>
        <w:spacing w:after="0" w:line="235" w:lineRule="auto"/>
        <w:rPr>
          <w:sz w:val="20"/>
          <w:szCs w:val="20"/>
          <w:color w:val="auto"/>
        </w:rPr>
      </w:pPr>
      <w:r>
        <w:rPr>
          <w:rFonts w:ascii="Arial" w:cs="Arial" w:eastAsia="Arial" w:hAnsi="Arial"/>
          <w:sz w:val="17"/>
          <w:szCs w:val="17"/>
          <w:color w:val="auto"/>
        </w:rPr>
        <w:t>The following table summarizes the 2012 quarterly operating results of the Company following the reclassification of the operations discussed above as discontinued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jc w:val="right"/>
              <w:ind w:right="486"/>
              <w:spacing w:after="0"/>
              <w:rPr>
                <w:sz w:val="20"/>
                <w:szCs w:val="20"/>
                <w:color w:val="auto"/>
              </w:rPr>
            </w:pPr>
            <w:r>
              <w:rPr>
                <w:rFonts w:ascii="Arial" w:cs="Arial" w:eastAsia="Arial" w:hAnsi="Arial"/>
                <w:sz w:val="12"/>
                <w:szCs w:val="12"/>
                <w:b w:val="1"/>
                <w:bCs w:val="1"/>
                <w:color w:val="auto"/>
              </w:rPr>
              <w:t>March 31,</w:t>
            </w:r>
          </w:p>
        </w:tc>
        <w:tc>
          <w:tcPr>
            <w:tcW w:w="380" w:type="dxa"/>
            <w:vAlign w:val="bottom"/>
          </w:tcPr>
          <w:p>
            <w:pPr>
              <w:spacing w:after="0"/>
              <w:rPr>
                <w:sz w:val="12"/>
                <w:szCs w:val="12"/>
                <w:color w:val="auto"/>
              </w:rPr>
            </w:pPr>
          </w:p>
        </w:tc>
        <w:tc>
          <w:tcPr>
            <w:tcW w:w="1100" w:type="dxa"/>
            <w:vAlign w:val="bottom"/>
          </w:tcPr>
          <w:p>
            <w:pPr>
              <w:jc w:val="right"/>
              <w:ind w:right="346"/>
              <w:spacing w:after="0"/>
              <w:rPr>
                <w:sz w:val="20"/>
                <w:szCs w:val="20"/>
                <w:color w:val="auto"/>
              </w:rPr>
            </w:pPr>
            <w:r>
              <w:rPr>
                <w:rFonts w:ascii="Arial" w:cs="Arial" w:eastAsia="Arial" w:hAnsi="Arial"/>
                <w:sz w:val="12"/>
                <w:szCs w:val="12"/>
                <w:b w:val="1"/>
                <w:bCs w:val="1"/>
                <w:color w:val="auto"/>
              </w:rPr>
              <w:t>June 30,</w:t>
            </w:r>
          </w:p>
        </w:tc>
        <w:tc>
          <w:tcPr>
            <w:tcW w:w="0" w:type="dxa"/>
            <w:vAlign w:val="bottom"/>
          </w:tcPr>
          <w:p>
            <w:pPr>
              <w:spacing w:after="0"/>
              <w:rPr>
                <w:sz w:val="1"/>
                <w:szCs w:val="1"/>
                <w:color w:val="auto"/>
              </w:rPr>
            </w:pPr>
          </w:p>
        </w:tc>
      </w:tr>
      <w:tr>
        <w:trPr>
          <w:trHeight w:val="151"/>
        </w:trPr>
        <w:tc>
          <w:tcPr>
            <w:tcW w:w="83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b w:val="1"/>
                <w:bCs w:val="1"/>
                <w:color w:val="auto"/>
              </w:rPr>
              <w:t>2012</w:t>
            </w:r>
          </w:p>
        </w:tc>
        <w:tc>
          <w:tcPr>
            <w:tcW w:w="0" w:type="dxa"/>
            <w:vAlign w:val="bottom"/>
          </w:tcPr>
          <w:p>
            <w:pPr>
              <w:spacing w:after="0"/>
              <w:rPr>
                <w:sz w:val="1"/>
                <w:szCs w:val="1"/>
                <w:color w:val="auto"/>
              </w:rPr>
            </w:pPr>
          </w:p>
        </w:tc>
      </w:tr>
      <w:tr>
        <w:trPr>
          <w:trHeight w:val="168"/>
        </w:trPr>
        <w:tc>
          <w:tcPr>
            <w:tcW w:w="836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547,280</w:t>
            </w:r>
          </w:p>
        </w:tc>
        <w:tc>
          <w:tcPr>
            <w:tcW w:w="3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552,202</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Advertising</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170,750</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190,086</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Circulation and subscriber</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215,230</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219,286</w:t>
            </w:r>
          </w:p>
        </w:tc>
        <w:tc>
          <w:tcPr>
            <w:tcW w:w="0" w:type="dxa"/>
            <w:vAlign w:val="bottom"/>
          </w:tcPr>
          <w:p>
            <w:pPr>
              <w:spacing w:after="0"/>
              <w:rPr>
                <w:sz w:val="1"/>
                <w:szCs w:val="1"/>
                <w:color w:val="auto"/>
              </w:rPr>
            </w:pPr>
          </w:p>
        </w:tc>
      </w:tr>
      <w:tr>
        <w:trPr>
          <w:trHeight w:val="172"/>
        </w:trPr>
        <w:tc>
          <w:tcPr>
            <w:tcW w:w="8360" w:type="dxa"/>
            <w:vAlign w:val="bottom"/>
          </w:tcPr>
          <w:p>
            <w:pPr>
              <w:ind w:left="240"/>
              <w:spacing w:after="0"/>
              <w:rPr>
                <w:sz w:val="20"/>
                <w:szCs w:val="20"/>
                <w:color w:val="auto"/>
              </w:rPr>
            </w:pPr>
            <w:r>
              <w:rPr>
                <w:rFonts w:ascii="Arial" w:cs="Arial" w:eastAsia="Arial" w:hAnsi="Arial"/>
                <w:sz w:val="15"/>
                <w:szCs w:val="15"/>
                <w:color w:val="auto"/>
              </w:rPr>
              <w:t>Other</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27,939</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33,450</w:t>
            </w:r>
          </w:p>
        </w:tc>
        <w:tc>
          <w:tcPr>
            <w:tcW w:w="0" w:type="dxa"/>
            <w:vAlign w:val="bottom"/>
          </w:tcPr>
          <w:p>
            <w:pPr>
              <w:spacing w:after="0"/>
              <w:rPr>
                <w:sz w:val="1"/>
                <w:szCs w:val="1"/>
                <w:color w:val="auto"/>
              </w:rPr>
            </w:pPr>
          </w:p>
        </w:tc>
      </w:tr>
      <w:tr>
        <w:trPr>
          <w:trHeight w:val="166"/>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961,199</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995,024</w:t>
            </w:r>
          </w:p>
        </w:tc>
        <w:tc>
          <w:tcPr>
            <w:tcW w:w="0" w:type="dxa"/>
            <w:vAlign w:val="bottom"/>
          </w:tcPr>
          <w:p>
            <w:pPr>
              <w:spacing w:after="0"/>
              <w:rPr>
                <w:sz w:val="1"/>
                <w:szCs w:val="1"/>
                <w:color w:val="auto"/>
              </w:rPr>
            </w:pPr>
          </w:p>
        </w:tc>
      </w:tr>
      <w:tr>
        <w:trPr>
          <w:trHeight w:val="168"/>
        </w:trPr>
        <w:tc>
          <w:tcPr>
            <w:tcW w:w="8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463,106</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464,615</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Selling, general and administrative</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411,466</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400,676</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Depreciation of property, plant and equipment</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62,275</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62,749</w:t>
            </w:r>
          </w:p>
        </w:tc>
        <w:tc>
          <w:tcPr>
            <w:tcW w:w="0" w:type="dxa"/>
            <w:vAlign w:val="bottom"/>
          </w:tcPr>
          <w:p>
            <w:pPr>
              <w:spacing w:after="0"/>
              <w:rPr>
                <w:sz w:val="1"/>
                <w:szCs w:val="1"/>
                <w:color w:val="auto"/>
              </w:rPr>
            </w:pPr>
          </w:p>
        </w:tc>
      </w:tr>
      <w:tr>
        <w:trPr>
          <w:trHeight w:val="172"/>
        </w:trPr>
        <w:tc>
          <w:tcPr>
            <w:tcW w:w="8360" w:type="dxa"/>
            <w:vAlign w:val="bottom"/>
          </w:tcPr>
          <w:p>
            <w:pPr>
              <w:ind w:left="240"/>
              <w:spacing w:after="0"/>
              <w:rPr>
                <w:sz w:val="20"/>
                <w:szCs w:val="20"/>
                <w:color w:val="auto"/>
              </w:rPr>
            </w:pPr>
            <w:r>
              <w:rPr>
                <w:rFonts w:ascii="Arial" w:cs="Arial" w:eastAsia="Arial" w:hAnsi="Arial"/>
                <w:sz w:val="15"/>
                <w:szCs w:val="15"/>
                <w:color w:val="auto"/>
              </w:rPr>
              <w:t>Amortization of intangible assets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3,873</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4,428</w:t>
            </w:r>
          </w:p>
        </w:tc>
        <w:tc>
          <w:tcPr>
            <w:tcW w:w="0" w:type="dxa"/>
            <w:vAlign w:val="bottom"/>
          </w:tcPr>
          <w:p>
            <w:pPr>
              <w:spacing w:after="0"/>
              <w:rPr>
                <w:sz w:val="1"/>
                <w:szCs w:val="1"/>
                <w:color w:val="auto"/>
              </w:rPr>
            </w:pPr>
          </w:p>
        </w:tc>
      </w:tr>
      <w:tr>
        <w:trPr>
          <w:trHeight w:val="166"/>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940,720</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932,468</w:t>
            </w:r>
          </w:p>
        </w:tc>
        <w:tc>
          <w:tcPr>
            <w:tcW w:w="0" w:type="dxa"/>
            <w:vAlign w:val="bottom"/>
          </w:tcPr>
          <w:p>
            <w:pPr>
              <w:spacing w:after="0"/>
              <w:rPr>
                <w:sz w:val="1"/>
                <w:szCs w:val="1"/>
                <w:color w:val="auto"/>
              </w:rPr>
            </w:pPr>
          </w:p>
        </w:tc>
      </w:tr>
      <w:tr>
        <w:trPr>
          <w:trHeight w:val="168"/>
        </w:trPr>
        <w:tc>
          <w:tcPr>
            <w:tcW w:w="8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right"/>
              <w:ind w:right="66"/>
              <w:spacing w:after="0" w:line="168" w:lineRule="exact"/>
              <w:rPr>
                <w:sz w:val="20"/>
                <w:szCs w:val="20"/>
                <w:color w:val="auto"/>
              </w:rPr>
            </w:pPr>
            <w:r>
              <w:rPr>
                <w:rFonts w:ascii="Arial" w:cs="Arial" w:eastAsia="Arial" w:hAnsi="Arial"/>
                <w:sz w:val="15"/>
                <w:szCs w:val="15"/>
                <w:color w:val="auto"/>
              </w:rPr>
              <w:t>20,479</w:t>
            </w:r>
          </w:p>
        </w:tc>
        <w:tc>
          <w:tcPr>
            <w:tcW w:w="3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Arial" w:cs="Arial" w:eastAsia="Arial" w:hAnsi="Arial"/>
                <w:sz w:val="15"/>
                <w:szCs w:val="15"/>
                <w:color w:val="auto"/>
              </w:rPr>
              <w:t>62,556</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Equity in earnings of affiliates, net</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3,888</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3,314</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1,069</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174"/>
        </w:trPr>
        <w:tc>
          <w:tcPr>
            <w:tcW w:w="8360" w:type="dxa"/>
            <w:vAlign w:val="bottom"/>
          </w:tcPr>
          <w:p>
            <w:pPr>
              <w:ind w:left="240"/>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15"/>
                <w:szCs w:val="15"/>
                <w:color w:val="auto"/>
              </w:rPr>
            </w:pP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(9,163)</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(8,979)</w:t>
            </w:r>
          </w:p>
        </w:tc>
        <w:tc>
          <w:tcPr>
            <w:tcW w:w="0" w:type="dxa"/>
            <w:vAlign w:val="bottom"/>
          </w:tcPr>
          <w:p>
            <w:pPr>
              <w:spacing w:after="0"/>
              <w:rPr>
                <w:sz w:val="1"/>
                <w:szCs w:val="1"/>
                <w:color w:val="auto"/>
              </w:rPr>
            </w:pPr>
          </w:p>
        </w:tc>
      </w:tr>
      <w:tr>
        <w:trPr>
          <w:trHeight w:val="172"/>
        </w:trPr>
        <w:tc>
          <w:tcPr>
            <w:tcW w:w="8360" w:type="dxa"/>
            <w:vAlign w:val="bottom"/>
          </w:tcPr>
          <w:p>
            <w:pPr>
              <w:ind w:left="240"/>
              <w:spacing w:after="0"/>
              <w:rPr>
                <w:sz w:val="20"/>
                <w:szCs w:val="20"/>
                <w:color w:val="auto"/>
              </w:rPr>
            </w:pPr>
            <w:r>
              <w:rPr>
                <w:rFonts w:ascii="Arial" w:cs="Arial" w:eastAsia="Arial" w:hAnsi="Arial"/>
                <w:sz w:val="15"/>
                <w:szCs w:val="15"/>
                <w:color w:val="auto"/>
              </w:rPr>
              <w:t>Other income (expense), net</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8,588</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(635)</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280" w:type="dxa"/>
            <w:vAlign w:val="bottom"/>
          </w:tcPr>
          <w:p>
            <w:pPr>
              <w:spacing w:after="0"/>
              <w:rPr>
                <w:sz w:val="13"/>
                <w:szCs w:val="13"/>
                <w:color w:val="auto"/>
              </w:rPr>
            </w:pPr>
          </w:p>
        </w:tc>
        <w:tc>
          <w:tcPr>
            <w:tcW w:w="13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24,861</w:t>
            </w:r>
          </w:p>
        </w:tc>
        <w:tc>
          <w:tcPr>
            <w:tcW w:w="38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57,031</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11,400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21,000</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w:t>
            </w:r>
          </w:p>
        </w:tc>
        <w:tc>
          <w:tcPr>
            <w:tcW w:w="280" w:type="dxa"/>
            <w:vAlign w:val="bottom"/>
          </w:tcPr>
          <w:p>
            <w:pPr>
              <w:spacing w:after="0"/>
              <w:rPr>
                <w:sz w:val="13"/>
                <w:szCs w:val="13"/>
                <w:color w:val="auto"/>
              </w:rPr>
            </w:pPr>
          </w:p>
        </w:tc>
        <w:tc>
          <w:tcPr>
            <w:tcW w:w="13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13,461</w:t>
            </w:r>
          </w:p>
        </w:tc>
        <w:tc>
          <w:tcPr>
            <w:tcW w:w="38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36,031</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Income from Discontinued Operations, Net of Tax</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18,107</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16,016</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w:t>
            </w:r>
          </w:p>
        </w:tc>
        <w:tc>
          <w:tcPr>
            <w:tcW w:w="280" w:type="dxa"/>
            <w:vAlign w:val="bottom"/>
          </w:tcPr>
          <w:p>
            <w:pPr>
              <w:spacing w:after="0"/>
              <w:rPr>
                <w:sz w:val="13"/>
                <w:szCs w:val="13"/>
                <w:color w:val="auto"/>
              </w:rPr>
            </w:pPr>
          </w:p>
        </w:tc>
        <w:tc>
          <w:tcPr>
            <w:tcW w:w="13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31,568</w:t>
            </w:r>
          </w:p>
        </w:tc>
        <w:tc>
          <w:tcPr>
            <w:tcW w:w="38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52,047</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Net Income Attributable to Noncontrolling Interests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50"/>
        </w:trPr>
        <w:tc>
          <w:tcPr>
            <w:tcW w:w="836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Attributable to The Washington Post Company</w:t>
            </w:r>
          </w:p>
        </w:tc>
        <w:tc>
          <w:tcPr>
            <w:tcW w:w="280" w:type="dxa"/>
            <w:vAlign w:val="bottom"/>
          </w:tcPr>
          <w:p>
            <w:pPr>
              <w:spacing w:after="0"/>
              <w:rPr>
                <w:sz w:val="13"/>
                <w:szCs w:val="13"/>
                <w:color w:val="auto"/>
              </w:rPr>
            </w:pPr>
          </w:p>
        </w:tc>
        <w:tc>
          <w:tcPr>
            <w:tcW w:w="13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31,498</w:t>
            </w:r>
          </w:p>
        </w:tc>
        <w:tc>
          <w:tcPr>
            <w:tcW w:w="380" w:type="dxa"/>
            <w:vAlign w:val="bottom"/>
          </w:tcPr>
          <w:p>
            <w:pPr>
              <w:spacing w:after="0"/>
              <w:rPr>
                <w:sz w:val="13"/>
                <w:szCs w:val="13"/>
                <w:color w:val="auto"/>
              </w:rPr>
            </w:pP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52,036</w:t>
            </w:r>
          </w:p>
        </w:tc>
        <w:tc>
          <w:tcPr>
            <w:tcW w:w="0" w:type="dxa"/>
            <w:vAlign w:val="bottom"/>
          </w:tcPr>
          <w:p>
            <w:pPr>
              <w:spacing w:after="0"/>
              <w:rPr>
                <w:sz w:val="1"/>
                <w:szCs w:val="1"/>
                <w:color w:val="auto"/>
              </w:rPr>
            </w:pPr>
          </w:p>
        </w:tc>
      </w:tr>
      <w:tr>
        <w:trPr>
          <w:trHeight w:val="190"/>
        </w:trPr>
        <w:tc>
          <w:tcPr>
            <w:tcW w:w="836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(451)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w:t>
            </w: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b w:val="1"/>
                <w:bCs w:val="1"/>
                <w:color w:val="auto"/>
              </w:rPr>
              <w:t>Net Income Attributable to The Washington Post Company Common Stockholders</w:t>
            </w: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31,047</w:t>
            </w:r>
          </w:p>
        </w:tc>
        <w:tc>
          <w:tcPr>
            <w:tcW w:w="3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51,814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 Common Stockholders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12,940</w:t>
            </w:r>
          </w:p>
        </w:tc>
        <w:tc>
          <w:tcPr>
            <w:tcW w:w="3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35,798</w:t>
            </w:r>
          </w:p>
        </w:tc>
        <w:tc>
          <w:tcPr>
            <w:tcW w:w="0" w:type="dxa"/>
            <w:vAlign w:val="bottom"/>
          </w:tcPr>
          <w:p>
            <w:pPr>
              <w:spacing w:after="0"/>
              <w:rPr>
                <w:sz w:val="1"/>
                <w:szCs w:val="1"/>
                <w:color w:val="auto"/>
              </w:rPr>
            </w:pPr>
          </w:p>
        </w:tc>
      </w:tr>
      <w:tr>
        <w:trPr>
          <w:trHeight w:val="172"/>
        </w:trPr>
        <w:tc>
          <w:tcPr>
            <w:tcW w:w="8360" w:type="dxa"/>
            <w:vAlign w:val="bottom"/>
          </w:tcPr>
          <w:p>
            <w:pPr>
              <w:spacing w:after="0"/>
              <w:rPr>
                <w:sz w:val="20"/>
                <w:szCs w:val="20"/>
                <w:color w:val="auto"/>
              </w:rPr>
            </w:pPr>
            <w:r>
              <w:rPr>
                <w:rFonts w:ascii="Arial" w:cs="Arial" w:eastAsia="Arial" w:hAnsi="Arial"/>
                <w:sz w:val="15"/>
                <w:szCs w:val="15"/>
                <w:color w:val="auto"/>
              </w:rPr>
              <w:t>Income from discontinued operations, net of tax</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18,107</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16,016</w:t>
            </w: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Net income attributable to the Washington Post Company common stockholders</w:t>
            </w: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31,047</w:t>
            </w:r>
          </w:p>
        </w:tc>
        <w:tc>
          <w:tcPr>
            <w:tcW w:w="3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51,814</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3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836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1.66</w:t>
            </w:r>
          </w:p>
        </w:tc>
        <w:tc>
          <w:tcPr>
            <w:tcW w:w="3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172"/>
        </w:trPr>
        <w:tc>
          <w:tcPr>
            <w:tcW w:w="8360" w:type="dxa"/>
            <w:vAlign w:val="bottom"/>
          </w:tcPr>
          <w:p>
            <w:pPr>
              <w:spacing w:after="0"/>
              <w:rPr>
                <w:sz w:val="20"/>
                <w:szCs w:val="20"/>
                <w:color w:val="auto"/>
              </w:rPr>
            </w:pPr>
            <w:r>
              <w:rPr>
                <w:rFonts w:ascii="Arial" w:cs="Arial" w:eastAsia="Arial" w:hAnsi="Arial"/>
                <w:sz w:val="15"/>
                <w:szCs w:val="15"/>
                <w:color w:val="auto"/>
              </w:rPr>
              <w:t>Basic income per common share from discontinued operations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Basic net income per common share</w:t>
            </w: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4.07</w:t>
            </w:r>
          </w:p>
        </w:tc>
        <w:tc>
          <w:tcPr>
            <w:tcW w:w="3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6.84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360" w:type="dxa"/>
            <w:vAlign w:val="bottom"/>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ind w:right="66"/>
              <w:spacing w:after="0"/>
              <w:rPr>
                <w:sz w:val="20"/>
                <w:szCs w:val="20"/>
                <w:color w:val="auto"/>
              </w:rPr>
            </w:pPr>
            <w:r>
              <w:rPr>
                <w:rFonts w:ascii="Arial" w:cs="Arial" w:eastAsia="Arial" w:hAnsi="Arial"/>
                <w:sz w:val="15"/>
                <w:szCs w:val="15"/>
                <w:color w:val="auto"/>
              </w:rPr>
              <w:t>1.66</w:t>
            </w:r>
          </w:p>
        </w:tc>
        <w:tc>
          <w:tcPr>
            <w:tcW w:w="38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4.72</w:t>
            </w:r>
          </w:p>
        </w:tc>
        <w:tc>
          <w:tcPr>
            <w:tcW w:w="0" w:type="dxa"/>
            <w:vAlign w:val="bottom"/>
          </w:tcPr>
          <w:p>
            <w:pPr>
              <w:spacing w:after="0"/>
              <w:rPr>
                <w:sz w:val="1"/>
                <w:szCs w:val="1"/>
                <w:color w:val="auto"/>
              </w:rPr>
            </w:pPr>
          </w:p>
        </w:tc>
      </w:tr>
      <w:tr>
        <w:trPr>
          <w:trHeight w:val="172"/>
        </w:trPr>
        <w:tc>
          <w:tcPr>
            <w:tcW w:w="8360" w:type="dxa"/>
            <w:vAlign w:val="bottom"/>
          </w:tcPr>
          <w:p>
            <w:pPr>
              <w:spacing w:after="0"/>
              <w:rPr>
                <w:sz w:val="20"/>
                <w:szCs w:val="20"/>
                <w:color w:val="auto"/>
              </w:rPr>
            </w:pPr>
            <w:r>
              <w:rPr>
                <w:rFonts w:ascii="Arial" w:cs="Arial" w:eastAsia="Arial" w:hAnsi="Arial"/>
                <w:sz w:val="15"/>
                <w:szCs w:val="15"/>
                <w:color w:val="auto"/>
              </w:rPr>
              <w:t>Diluted income per common share from discontinued operations</w:t>
            </w: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w:t>
            </w:r>
          </w:p>
        </w:tc>
        <w:tc>
          <w:tcPr>
            <w:tcW w:w="0" w:type="dxa"/>
            <w:vAlign w:val="bottom"/>
          </w:tcPr>
          <w:p>
            <w:pPr>
              <w:spacing w:after="0"/>
              <w:rPr>
                <w:sz w:val="1"/>
                <w:szCs w:val="1"/>
                <w:color w:val="auto"/>
              </w:rPr>
            </w:pPr>
          </w:p>
        </w:tc>
      </w:tr>
      <w:tr>
        <w:trPr>
          <w:trHeight w:val="166"/>
        </w:trPr>
        <w:tc>
          <w:tcPr>
            <w:tcW w:w="8360" w:type="dxa"/>
            <w:vAlign w:val="bottom"/>
          </w:tcPr>
          <w:p>
            <w:pPr>
              <w:spacing w:after="0" w:line="167" w:lineRule="exact"/>
              <w:rPr>
                <w:sz w:val="20"/>
                <w:szCs w:val="20"/>
                <w:color w:val="auto"/>
              </w:rPr>
            </w:pPr>
            <w:r>
              <w:rPr>
                <w:rFonts w:ascii="Arial" w:cs="Arial" w:eastAsia="Arial" w:hAnsi="Arial"/>
                <w:sz w:val="15"/>
                <w:szCs w:val="15"/>
                <w:color w:val="auto"/>
              </w:rPr>
              <w:t>Diluted net income per common share</w:t>
            </w:r>
          </w:p>
        </w:tc>
        <w:tc>
          <w:tcPr>
            <w:tcW w:w="2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4.07</w:t>
            </w:r>
          </w:p>
        </w:tc>
        <w:tc>
          <w:tcPr>
            <w:tcW w:w="38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6.84</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9" w:name="page10"/>
    <w:bookmarkEnd w:id="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ind w:right="360"/>
        <w:spacing w:after="0" w:line="235" w:lineRule="auto"/>
        <w:rPr>
          <w:sz w:val="20"/>
          <w:szCs w:val="20"/>
          <w:color w:val="auto"/>
        </w:rPr>
      </w:pPr>
      <w:r>
        <w:rPr>
          <w:rFonts w:ascii="Arial" w:cs="Arial" w:eastAsia="Arial" w:hAnsi="Arial"/>
          <w:sz w:val="17"/>
          <w:szCs w:val="17"/>
          <w:color w:val="auto"/>
        </w:rPr>
        <w:t>The following table summarizes the 2011 quarterly operating results of the Company following the reclassification of the operations discussed above as discontinued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jc w:val="right"/>
              <w:ind w:right="526"/>
              <w:spacing w:after="0"/>
              <w:rPr>
                <w:sz w:val="20"/>
                <w:szCs w:val="20"/>
                <w:color w:val="auto"/>
              </w:rPr>
            </w:pPr>
            <w:r>
              <w:rPr>
                <w:rFonts w:ascii="Arial" w:cs="Arial" w:eastAsia="Arial" w:hAnsi="Arial"/>
                <w:sz w:val="12"/>
                <w:szCs w:val="12"/>
                <w:color w:val="auto"/>
              </w:rPr>
              <w:t>April 3,</w:t>
            </w:r>
          </w:p>
        </w:tc>
        <w:tc>
          <w:tcPr>
            <w:tcW w:w="380" w:type="dxa"/>
            <w:vAlign w:val="bottom"/>
          </w:tcPr>
          <w:p>
            <w:pPr>
              <w:spacing w:after="0"/>
              <w:rPr>
                <w:sz w:val="12"/>
                <w:szCs w:val="12"/>
                <w:color w:val="auto"/>
              </w:rPr>
            </w:pPr>
          </w:p>
        </w:tc>
        <w:tc>
          <w:tcPr>
            <w:tcW w:w="1100" w:type="dxa"/>
            <w:vAlign w:val="bottom"/>
          </w:tcPr>
          <w:p>
            <w:pPr>
              <w:jc w:val="right"/>
              <w:ind w:right="526"/>
              <w:spacing w:after="0"/>
              <w:rPr>
                <w:sz w:val="20"/>
                <w:szCs w:val="20"/>
                <w:color w:val="auto"/>
              </w:rPr>
            </w:pPr>
            <w:r>
              <w:rPr>
                <w:rFonts w:ascii="Arial" w:cs="Arial" w:eastAsia="Arial" w:hAnsi="Arial"/>
                <w:sz w:val="12"/>
                <w:szCs w:val="12"/>
                <w:color w:val="auto"/>
              </w:rPr>
              <w:t>July 3,</w:t>
            </w:r>
          </w:p>
        </w:tc>
        <w:tc>
          <w:tcPr>
            <w:tcW w:w="320" w:type="dxa"/>
            <w:vAlign w:val="bottom"/>
          </w:tcPr>
          <w:p>
            <w:pPr>
              <w:spacing w:after="0"/>
              <w:rPr>
                <w:sz w:val="12"/>
                <w:szCs w:val="12"/>
                <w:color w:val="auto"/>
              </w:rPr>
            </w:pPr>
          </w:p>
        </w:tc>
        <w:tc>
          <w:tcPr>
            <w:tcW w:w="1160" w:type="dxa"/>
            <w:vAlign w:val="bottom"/>
          </w:tcPr>
          <w:p>
            <w:pPr>
              <w:jc w:val="right"/>
              <w:ind w:right="426"/>
              <w:spacing w:after="0"/>
              <w:rPr>
                <w:sz w:val="20"/>
                <w:szCs w:val="20"/>
                <w:color w:val="auto"/>
              </w:rPr>
            </w:pPr>
            <w:r>
              <w:rPr>
                <w:rFonts w:ascii="Arial" w:cs="Arial" w:eastAsia="Arial" w:hAnsi="Arial"/>
                <w:sz w:val="12"/>
                <w:szCs w:val="12"/>
                <w:color w:val="auto"/>
              </w:rPr>
              <w:t>October 2,</w:t>
            </w:r>
          </w:p>
        </w:tc>
        <w:tc>
          <w:tcPr>
            <w:tcW w:w="240" w:type="dxa"/>
            <w:vAlign w:val="bottom"/>
          </w:tcPr>
          <w:p>
            <w:pPr>
              <w:spacing w:after="0"/>
              <w:rPr>
                <w:sz w:val="12"/>
                <w:szCs w:val="12"/>
                <w:color w:val="auto"/>
              </w:rPr>
            </w:pPr>
          </w:p>
        </w:tc>
        <w:tc>
          <w:tcPr>
            <w:tcW w:w="1000" w:type="dxa"/>
            <w:vAlign w:val="bottom"/>
          </w:tcPr>
          <w:p>
            <w:pPr>
              <w:jc w:val="right"/>
              <w:ind w:right="146"/>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7"/>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2011</w:t>
            </w:r>
          </w:p>
        </w:tc>
        <w:tc>
          <w:tcPr>
            <w:tcW w:w="3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586"/>
              <w:spacing w:after="0"/>
              <w:rPr>
                <w:sz w:val="20"/>
                <w:szCs w:val="20"/>
                <w:color w:val="auto"/>
              </w:rPr>
            </w:pPr>
            <w:r>
              <w:rPr>
                <w:rFonts w:ascii="Arial" w:cs="Arial" w:eastAsia="Arial" w:hAnsi="Arial"/>
                <w:sz w:val="12"/>
                <w:szCs w:val="12"/>
                <w:color w:val="auto"/>
              </w:rPr>
              <w:t>2011</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2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574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611,714</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610,371</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601,611</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580,763</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Advertising</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177,385</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193,352</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170,552</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213,255</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Circulation and subscriber</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214,523</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216,606</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212,145</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213,183</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rPr>
                <w:sz w:val="20"/>
                <w:szCs w:val="20"/>
                <w:color w:val="auto"/>
              </w:rPr>
            </w:pPr>
            <w:r>
              <w:rPr>
                <w:rFonts w:ascii="Arial" w:cs="Arial" w:eastAsia="Arial" w:hAnsi="Arial"/>
                <w:sz w:val="15"/>
                <w:szCs w:val="15"/>
                <w:color w:val="auto"/>
              </w:rPr>
              <w:t>Other</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25,299</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28,976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28,190</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33,220</w:t>
            </w: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Operating Costs and Expenses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1,028,921</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1,049,305</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1,012,498</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1,040,421</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Operating</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463,303</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488,577</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486,615</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465,666</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Selling, general and administrative</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438,744</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405,729</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387,735</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397,518</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Depreciation of property, plant and equipment</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61,929</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62,615</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61,589</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62,932</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rPr>
                <w:sz w:val="20"/>
                <w:szCs w:val="20"/>
                <w:color w:val="auto"/>
              </w:rPr>
            </w:pPr>
            <w:r>
              <w:rPr>
                <w:rFonts w:ascii="Arial" w:cs="Arial" w:eastAsia="Arial" w:hAnsi="Arial"/>
                <w:sz w:val="15"/>
                <w:szCs w:val="15"/>
                <w:color w:val="auto"/>
              </w:rPr>
              <w:t>Amortization of intangible assets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5,176</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5,797</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6,320</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5,042</w:t>
            </w:r>
          </w:p>
        </w:tc>
        <w:tc>
          <w:tcPr>
            <w:tcW w:w="0" w:type="dxa"/>
            <w:vAlign w:val="bottom"/>
          </w:tcPr>
          <w:p>
            <w:pPr>
              <w:spacing w:after="0"/>
              <w:rPr>
                <w:sz w:val="1"/>
                <w:szCs w:val="1"/>
                <w:color w:val="auto"/>
              </w:rPr>
            </w:pPr>
          </w:p>
        </w:tc>
      </w:tr>
      <w:tr>
        <w:trPr>
          <w:trHeight w:val="166"/>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Income from Operations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969,152</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962,718</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942,259</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931,158</w:t>
            </w:r>
          </w:p>
        </w:tc>
        <w:tc>
          <w:tcPr>
            <w:tcW w:w="0" w:type="dxa"/>
            <w:vAlign w:val="bottom"/>
          </w:tcPr>
          <w:p>
            <w:pPr>
              <w:spacing w:after="0"/>
              <w:rPr>
                <w:sz w:val="1"/>
                <w:szCs w:val="1"/>
                <w:color w:val="auto"/>
              </w:rPr>
            </w:pPr>
          </w:p>
        </w:tc>
      </w:tr>
      <w:tr>
        <w:trPr>
          <w:trHeight w:val="168"/>
        </w:trPr>
        <w:tc>
          <w:tcPr>
            <w:tcW w:w="57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jc w:val="right"/>
              <w:ind w:right="66"/>
              <w:spacing w:after="0" w:line="168" w:lineRule="exact"/>
              <w:rPr>
                <w:sz w:val="20"/>
                <w:szCs w:val="20"/>
                <w:color w:val="auto"/>
              </w:rPr>
            </w:pPr>
            <w:r>
              <w:rPr>
                <w:rFonts w:ascii="Arial" w:cs="Arial" w:eastAsia="Arial" w:hAnsi="Arial"/>
                <w:sz w:val="15"/>
                <w:szCs w:val="15"/>
                <w:color w:val="auto"/>
              </w:rPr>
              <w:t>59,769</w:t>
            </w:r>
          </w:p>
        </w:tc>
        <w:tc>
          <w:tcPr>
            <w:tcW w:w="380" w:type="dxa"/>
            <w:vAlign w:val="bottom"/>
          </w:tcPr>
          <w:p>
            <w:pPr>
              <w:spacing w:after="0"/>
              <w:rPr>
                <w:sz w:val="14"/>
                <w:szCs w:val="14"/>
                <w:color w:val="auto"/>
              </w:rPr>
            </w:pPr>
          </w:p>
        </w:tc>
        <w:tc>
          <w:tcPr>
            <w:tcW w:w="1100" w:type="dxa"/>
            <w:vAlign w:val="bottom"/>
          </w:tcPr>
          <w:p>
            <w:pPr>
              <w:jc w:val="right"/>
              <w:ind w:right="66"/>
              <w:spacing w:after="0" w:line="168" w:lineRule="exact"/>
              <w:rPr>
                <w:sz w:val="20"/>
                <w:szCs w:val="20"/>
                <w:color w:val="auto"/>
              </w:rPr>
            </w:pPr>
            <w:r>
              <w:rPr>
                <w:rFonts w:ascii="Arial" w:cs="Arial" w:eastAsia="Arial" w:hAnsi="Arial"/>
                <w:sz w:val="15"/>
                <w:szCs w:val="15"/>
                <w:color w:val="auto"/>
              </w:rPr>
              <w:t>86,587</w:t>
            </w:r>
          </w:p>
        </w:tc>
        <w:tc>
          <w:tcPr>
            <w:tcW w:w="320" w:type="dxa"/>
            <w:vAlign w:val="bottom"/>
          </w:tcPr>
          <w:p>
            <w:pPr>
              <w:spacing w:after="0"/>
              <w:rPr>
                <w:sz w:val="14"/>
                <w:szCs w:val="14"/>
                <w:color w:val="auto"/>
              </w:rPr>
            </w:pPr>
          </w:p>
        </w:tc>
        <w:tc>
          <w:tcPr>
            <w:tcW w:w="1160" w:type="dxa"/>
            <w:vAlign w:val="bottom"/>
          </w:tcPr>
          <w:p>
            <w:pPr>
              <w:jc w:val="right"/>
              <w:ind w:right="66"/>
              <w:spacing w:after="0" w:line="168" w:lineRule="exact"/>
              <w:rPr>
                <w:sz w:val="20"/>
                <w:szCs w:val="20"/>
                <w:color w:val="auto"/>
              </w:rPr>
            </w:pPr>
            <w:r>
              <w:rPr>
                <w:rFonts w:ascii="Arial" w:cs="Arial" w:eastAsia="Arial" w:hAnsi="Arial"/>
                <w:sz w:val="15"/>
                <w:szCs w:val="15"/>
                <w:color w:val="auto"/>
              </w:rPr>
              <w:t>70,239</w:t>
            </w:r>
          </w:p>
        </w:tc>
        <w:tc>
          <w:tcPr>
            <w:tcW w:w="2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Arial" w:cs="Arial" w:eastAsia="Arial" w:hAnsi="Arial"/>
                <w:sz w:val="15"/>
                <w:szCs w:val="15"/>
                <w:color w:val="auto"/>
              </w:rPr>
              <w:t>109,263</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Equity in earnings (losses) of affiliates, net</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3,737</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3,138</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(1,494)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Interest income</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982</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997</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994</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1,174</w:t>
            </w:r>
          </w:p>
        </w:tc>
        <w:tc>
          <w:tcPr>
            <w:tcW w:w="0" w:type="dxa"/>
            <w:vAlign w:val="bottom"/>
          </w:tcPr>
          <w:p>
            <w:pPr>
              <w:spacing w:after="0"/>
              <w:rPr>
                <w:sz w:val="1"/>
                <w:szCs w:val="1"/>
                <w:color w:val="auto"/>
              </w:rPr>
            </w:pPr>
          </w:p>
        </w:tc>
      </w:tr>
      <w:tr>
        <w:trPr>
          <w:trHeight w:val="174"/>
        </w:trPr>
        <w:tc>
          <w:tcPr>
            <w:tcW w:w="5740" w:type="dxa"/>
            <w:vAlign w:val="bottom"/>
          </w:tcPr>
          <w:p>
            <w:pPr>
              <w:ind w:left="240"/>
              <w:spacing w:after="0"/>
              <w:rPr>
                <w:sz w:val="20"/>
                <w:szCs w:val="20"/>
                <w:color w:val="auto"/>
              </w:rPr>
            </w:pPr>
            <w:r>
              <w:rPr>
                <w:rFonts w:ascii="Arial" w:cs="Arial" w:eastAsia="Arial" w:hAnsi="Arial"/>
                <w:sz w:val="15"/>
                <w:szCs w:val="15"/>
                <w:color w:val="auto"/>
              </w:rPr>
              <w:t>Interest expense</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(7,961)</w:t>
            </w:r>
          </w:p>
        </w:tc>
        <w:tc>
          <w:tcPr>
            <w:tcW w:w="380" w:type="dxa"/>
            <w:vAlign w:val="bottom"/>
          </w:tcPr>
          <w:p>
            <w:pPr>
              <w:spacing w:after="0"/>
              <w:rPr>
                <w:sz w:val="15"/>
                <w:szCs w:val="15"/>
                <w:color w:val="auto"/>
              </w:rPr>
            </w:pP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(7,960)</w:t>
            </w:r>
          </w:p>
        </w:tc>
        <w:tc>
          <w:tcPr>
            <w:tcW w:w="320" w:type="dxa"/>
            <w:vAlign w:val="bottom"/>
          </w:tcPr>
          <w:p>
            <w:pPr>
              <w:spacing w:after="0"/>
              <w:rPr>
                <w:sz w:val="15"/>
                <w:szCs w:val="15"/>
                <w:color w:val="auto"/>
              </w:rPr>
            </w:pP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(8,667)</w:t>
            </w: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(8,638)</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rPr>
                <w:sz w:val="20"/>
                <w:szCs w:val="20"/>
                <w:color w:val="auto"/>
              </w:rPr>
            </w:pPr>
            <w:r>
              <w:rPr>
                <w:rFonts w:ascii="Arial" w:cs="Arial" w:eastAsia="Arial" w:hAnsi="Arial"/>
                <w:sz w:val="15"/>
                <w:szCs w:val="15"/>
                <w:color w:val="auto"/>
              </w:rPr>
              <w:t>Other (expense) income, net</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(24,032)</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(2,591)</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(29,650)</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32,495</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80,171</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31,422</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103,440</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Provision for Income Taxes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12,100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29,200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18,600</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42,000</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Income from Continuing Operations</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20,395</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50,971</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12,822</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61,440</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(Loss) Income from Discontinued Operations, Net of Tax</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(4,766)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(5,208)</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(18,788)</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15,629</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45,763</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(5,966)</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61,731</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Net (Income) Loss Attributable to Noncontrolling Interests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(16)</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15,615</w:t>
            </w:r>
          </w:p>
        </w:tc>
        <w:tc>
          <w:tcPr>
            <w:tcW w:w="380" w:type="dxa"/>
            <w:vAlign w:val="bottom"/>
          </w:tcPr>
          <w:p>
            <w:pPr>
              <w:spacing w:after="0"/>
              <w:rPr>
                <w:sz w:val="13"/>
                <w:szCs w:val="13"/>
                <w:color w:val="auto"/>
              </w:rPr>
            </w:pPr>
          </w:p>
        </w:tc>
        <w:tc>
          <w:tcPr>
            <w:tcW w:w="1100" w:type="dxa"/>
            <w:vAlign w:val="bottom"/>
          </w:tcPr>
          <w:p>
            <w:pPr>
              <w:jc w:val="right"/>
              <w:ind w:right="66"/>
              <w:spacing w:after="0" w:line="150" w:lineRule="exact"/>
              <w:rPr>
                <w:sz w:val="20"/>
                <w:szCs w:val="20"/>
                <w:color w:val="auto"/>
              </w:rPr>
            </w:pPr>
            <w:r>
              <w:rPr>
                <w:rFonts w:ascii="Arial" w:cs="Arial" w:eastAsia="Arial" w:hAnsi="Arial"/>
                <w:sz w:val="15"/>
                <w:szCs w:val="15"/>
                <w:color w:val="auto"/>
              </w:rPr>
              <w:t>45,803</w:t>
            </w:r>
          </w:p>
        </w:tc>
        <w:tc>
          <w:tcPr>
            <w:tcW w:w="320" w:type="dxa"/>
            <w:vAlign w:val="bottom"/>
          </w:tcPr>
          <w:p>
            <w:pPr>
              <w:spacing w:after="0"/>
              <w:rPr>
                <w:sz w:val="13"/>
                <w:szCs w:val="13"/>
                <w:color w:val="auto"/>
              </w:rPr>
            </w:pPr>
          </w:p>
        </w:tc>
        <w:tc>
          <w:tcPr>
            <w:tcW w:w="1160" w:type="dxa"/>
            <w:vAlign w:val="bottom"/>
          </w:tcPr>
          <w:p>
            <w:pPr>
              <w:jc w:val="right"/>
              <w:ind w:right="66"/>
              <w:spacing w:after="0" w:line="150" w:lineRule="exact"/>
              <w:rPr>
                <w:sz w:val="20"/>
                <w:szCs w:val="20"/>
                <w:color w:val="auto"/>
              </w:rPr>
            </w:pPr>
            <w:r>
              <w:rPr>
                <w:rFonts w:ascii="Arial" w:cs="Arial" w:eastAsia="Arial" w:hAnsi="Arial"/>
                <w:sz w:val="15"/>
                <w:szCs w:val="15"/>
                <w:color w:val="auto"/>
              </w:rPr>
              <w:t>(5,982)</w:t>
            </w:r>
          </w:p>
        </w:tc>
        <w:tc>
          <w:tcPr>
            <w:tcW w:w="240" w:type="dxa"/>
            <w:vAlign w:val="bottom"/>
          </w:tcPr>
          <w:p>
            <w:pPr>
              <w:spacing w:after="0"/>
              <w:rPr>
                <w:sz w:val="13"/>
                <w:szCs w:val="13"/>
                <w:color w:val="auto"/>
              </w:rPr>
            </w:pPr>
          </w:p>
        </w:tc>
        <w:tc>
          <w:tcPr>
            <w:tcW w:w="1000" w:type="dxa"/>
            <w:vAlign w:val="bottom"/>
          </w:tcPr>
          <w:p>
            <w:pPr>
              <w:jc w:val="right"/>
              <w:spacing w:after="0" w:line="150" w:lineRule="exact"/>
              <w:rPr>
                <w:sz w:val="20"/>
                <w:szCs w:val="20"/>
                <w:color w:val="auto"/>
              </w:rPr>
            </w:pPr>
            <w:r>
              <w:rPr>
                <w:rFonts w:ascii="Arial" w:cs="Arial" w:eastAsia="Arial" w:hAnsi="Arial"/>
                <w:sz w:val="15"/>
                <w:szCs w:val="15"/>
                <w:color w:val="auto"/>
              </w:rPr>
              <w:t>61,714</w:t>
            </w:r>
          </w:p>
        </w:tc>
        <w:tc>
          <w:tcPr>
            <w:tcW w:w="0" w:type="dxa"/>
            <w:vAlign w:val="bottom"/>
          </w:tcPr>
          <w:p>
            <w:pPr>
              <w:spacing w:after="0"/>
              <w:rPr>
                <w:sz w:val="1"/>
                <w:szCs w:val="1"/>
                <w:color w:val="auto"/>
              </w:rPr>
            </w:pPr>
          </w:p>
        </w:tc>
      </w:tr>
      <w:tr>
        <w:trPr>
          <w:trHeight w:val="190"/>
        </w:trPr>
        <w:tc>
          <w:tcPr>
            <w:tcW w:w="5740" w:type="dxa"/>
            <w:vAlign w:val="bottom"/>
          </w:tcPr>
          <w:p>
            <w:pPr>
              <w:spacing w:after="0"/>
              <w:rPr>
                <w:sz w:val="20"/>
                <w:szCs w:val="20"/>
                <w:color w:val="auto"/>
              </w:rPr>
            </w:pPr>
            <w:r>
              <w:rPr>
                <w:rFonts w:ascii="Arial" w:cs="Arial" w:eastAsia="Arial" w:hAnsi="Arial"/>
                <w:sz w:val="15"/>
                <w:szCs w:val="15"/>
                <w:b w:val="1"/>
                <w:bCs w:val="1"/>
                <w:color w:val="auto"/>
              </w:rPr>
              <w:t>Redeemable Preferred Stock Dividends</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(461)</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(230)</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(226)</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5740" w:type="dxa"/>
            <w:vAlign w:val="bottom"/>
          </w:tcPr>
          <w:p>
            <w:pPr>
              <w:spacing w:after="0" w:line="162" w:lineRule="exact"/>
              <w:rPr>
                <w:sz w:val="20"/>
                <w:szCs w:val="20"/>
                <w:color w:val="auto"/>
              </w:rPr>
            </w:pPr>
            <w:r>
              <w:rPr>
                <w:rFonts w:ascii="Arial" w:cs="Arial" w:eastAsia="Arial" w:hAnsi="Arial"/>
                <w:sz w:val="15"/>
                <w:szCs w:val="15"/>
                <w:b w:val="1"/>
                <w:bCs w:val="1"/>
                <w:color w:val="auto"/>
              </w:rPr>
              <w:t>Net Income (Loss) Attributable to The Washington Post Company</w:t>
            </w: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740" w:type="dxa"/>
            <w:vAlign w:val="bottom"/>
          </w:tcPr>
          <w:p>
            <w:pPr>
              <w:ind w:left="240"/>
              <w:spacing w:after="0"/>
              <w:rPr>
                <w:sz w:val="20"/>
                <w:szCs w:val="20"/>
                <w:color w:val="auto"/>
              </w:rPr>
            </w:pPr>
            <w:r>
              <w:rPr>
                <w:rFonts w:ascii="Arial" w:cs="Arial" w:eastAsia="Arial" w:hAnsi="Arial"/>
                <w:sz w:val="15"/>
                <w:szCs w:val="15"/>
                <w:b w:val="1"/>
                <w:bCs w:val="1"/>
                <w:color w:val="auto"/>
              </w:rPr>
              <w:t>Common Stockholders</w:t>
            </w:r>
          </w:p>
        </w:tc>
        <w:tc>
          <w:tcPr>
            <w:tcW w:w="3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15,154</w:t>
            </w:r>
          </w:p>
        </w:tc>
        <w:tc>
          <w:tcPr>
            <w:tcW w:w="38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45,573</w:t>
            </w:r>
          </w:p>
        </w:tc>
        <w:tc>
          <w:tcPr>
            <w:tcW w:w="32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(6,208)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61,714</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Amounts Attributable to The Washington Post Company</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40"/>
              <w:spacing w:after="0"/>
              <w:rPr>
                <w:sz w:val="20"/>
                <w:szCs w:val="20"/>
                <w:color w:val="auto"/>
              </w:rPr>
            </w:pPr>
            <w:r>
              <w:rPr>
                <w:rFonts w:ascii="Arial" w:cs="Arial" w:eastAsia="Arial" w:hAnsi="Arial"/>
                <w:sz w:val="15"/>
                <w:szCs w:val="15"/>
                <w:b w:val="1"/>
                <w:bCs w:val="1"/>
                <w:color w:val="auto"/>
              </w:rPr>
              <w:t>Common Stockholders</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Income from continuing operations</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19,920</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50,781</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12,580</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61,423</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(Loss) income from discontinued operations, net of tax</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(4,766)</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(5,208)</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(18,788)</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0" w:type="dxa"/>
            <w:vAlign w:val="bottom"/>
          </w:tcPr>
          <w:p>
            <w:pPr>
              <w:spacing w:after="0"/>
              <w:rPr>
                <w:sz w:val="1"/>
                <w:szCs w:val="1"/>
                <w:color w:val="auto"/>
              </w:rPr>
            </w:pPr>
          </w:p>
        </w:tc>
      </w:tr>
      <w:tr>
        <w:trPr>
          <w:trHeight w:val="173"/>
        </w:trPr>
        <w:tc>
          <w:tcPr>
            <w:tcW w:w="5740" w:type="dxa"/>
            <w:vAlign w:val="bottom"/>
          </w:tcPr>
          <w:p>
            <w:pPr>
              <w:spacing w:after="0"/>
              <w:rPr>
                <w:sz w:val="20"/>
                <w:szCs w:val="20"/>
                <w:color w:val="auto"/>
              </w:rPr>
            </w:pPr>
            <w:r>
              <w:rPr>
                <w:rFonts w:ascii="Arial" w:cs="Arial" w:eastAsia="Arial" w:hAnsi="Arial"/>
                <w:sz w:val="15"/>
                <w:szCs w:val="15"/>
                <w:color w:val="auto"/>
              </w:rPr>
              <w:t>Net income (loss) attributable to the Washington Post</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5"/>
                <w:szCs w:val="15"/>
                <w:color w:val="auto"/>
              </w:rPr>
              <w:t>15,154</w:t>
            </w:r>
          </w:p>
        </w:tc>
        <w:tc>
          <w:tcPr>
            <w:tcW w:w="380" w:type="dxa"/>
            <w:vAlign w:val="bottom"/>
            <w:vMerge w:val="restart"/>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vMerge w:val="restart"/>
          </w:tcPr>
          <w:p>
            <w:pPr>
              <w:jc w:val="right"/>
              <w:ind w:right="66"/>
              <w:spacing w:after="0"/>
              <w:rPr>
                <w:sz w:val="20"/>
                <w:szCs w:val="20"/>
                <w:color w:val="auto"/>
              </w:rPr>
            </w:pPr>
            <w:r>
              <w:rPr>
                <w:rFonts w:ascii="Arial" w:cs="Arial" w:eastAsia="Arial" w:hAnsi="Arial"/>
                <w:sz w:val="15"/>
                <w:szCs w:val="15"/>
                <w:color w:val="auto"/>
              </w:rPr>
              <w:t>45,573</w:t>
            </w:r>
          </w:p>
        </w:tc>
        <w:tc>
          <w:tcPr>
            <w:tcW w:w="32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6"/>
              <w:spacing w:after="0"/>
              <w:rPr>
                <w:sz w:val="20"/>
                <w:szCs w:val="20"/>
                <w:color w:val="auto"/>
              </w:rPr>
            </w:pPr>
            <w:r>
              <w:rPr>
                <w:rFonts w:ascii="Arial" w:cs="Arial" w:eastAsia="Arial" w:hAnsi="Arial"/>
                <w:sz w:val="15"/>
                <w:szCs w:val="15"/>
                <w:color w:val="auto"/>
              </w:rPr>
              <w:t>(6,208)</w:t>
            </w:r>
          </w:p>
        </w:tc>
        <w:tc>
          <w:tcPr>
            <w:tcW w:w="2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61,714</w:t>
            </w:r>
          </w:p>
        </w:tc>
        <w:tc>
          <w:tcPr>
            <w:tcW w:w="0" w:type="dxa"/>
            <w:vAlign w:val="bottom"/>
          </w:tcPr>
          <w:p>
            <w:pPr>
              <w:spacing w:after="0"/>
              <w:rPr>
                <w:sz w:val="1"/>
                <w:szCs w:val="1"/>
                <w:color w:val="auto"/>
              </w:rPr>
            </w:pPr>
          </w:p>
        </w:tc>
      </w:tr>
      <w:tr>
        <w:trPr>
          <w:trHeight w:val="172"/>
        </w:trPr>
        <w:tc>
          <w:tcPr>
            <w:tcW w:w="5740" w:type="dxa"/>
            <w:vAlign w:val="bottom"/>
          </w:tcPr>
          <w:p>
            <w:pPr>
              <w:ind w:left="240"/>
              <w:spacing w:after="0" w:line="167" w:lineRule="exact"/>
              <w:rPr>
                <w:sz w:val="20"/>
                <w:szCs w:val="20"/>
                <w:color w:val="auto"/>
              </w:rPr>
            </w:pPr>
            <w:r>
              <w:rPr>
                <w:rFonts w:ascii="Arial" w:cs="Arial" w:eastAsia="Arial" w:hAnsi="Arial"/>
                <w:sz w:val="15"/>
                <w:szCs w:val="15"/>
                <w:color w:val="auto"/>
              </w:rPr>
              <w:t>Company common stockholders</w:t>
            </w:r>
          </w:p>
        </w:tc>
        <w:tc>
          <w:tcPr>
            <w:tcW w:w="3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b w:val="1"/>
                <w:bCs w:val="1"/>
                <w:color w:val="auto"/>
              </w:rPr>
              <w:t>Per Share Information Attributable to The Washington Post</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57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5740" w:type="dxa"/>
            <w:vAlign w:val="bottom"/>
          </w:tcPr>
          <w:p>
            <w:pPr>
              <w:ind w:left="240"/>
              <w:spacing w:after="0"/>
              <w:rPr>
                <w:sz w:val="20"/>
                <w:szCs w:val="20"/>
                <w:color w:val="auto"/>
              </w:rPr>
            </w:pPr>
            <w:r>
              <w:rPr>
                <w:rFonts w:ascii="Arial" w:cs="Arial" w:eastAsia="Arial" w:hAnsi="Arial"/>
                <w:sz w:val="15"/>
                <w:szCs w:val="15"/>
                <w:b w:val="1"/>
                <w:bCs w:val="1"/>
                <w:color w:val="auto"/>
              </w:rPr>
              <w:t>Company Common Stockholders</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Basic income per common share from continuing operations</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2.43</w:t>
            </w:r>
          </w:p>
        </w:tc>
        <w:tc>
          <w:tcPr>
            <w:tcW w:w="38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rPr>
                <w:sz w:val="20"/>
                <w:szCs w:val="20"/>
                <w:color w:val="auto"/>
              </w:rPr>
            </w:pPr>
            <w:r>
              <w:rPr>
                <w:rFonts w:ascii="Arial" w:cs="Arial" w:eastAsia="Arial" w:hAnsi="Arial"/>
                <w:sz w:val="15"/>
                <w:szCs w:val="15"/>
                <w:color w:val="auto"/>
              </w:rPr>
              <w:t>6.40</w:t>
            </w:r>
          </w:p>
        </w:tc>
        <w:tc>
          <w:tcPr>
            <w:tcW w:w="32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rPr>
                <w:sz w:val="20"/>
                <w:szCs w:val="20"/>
                <w:color w:val="auto"/>
              </w:rPr>
            </w:pPr>
            <w:r>
              <w:rPr>
                <w:rFonts w:ascii="Arial" w:cs="Arial" w:eastAsia="Arial" w:hAnsi="Arial"/>
                <w:sz w:val="15"/>
                <w:szCs w:val="15"/>
                <w:color w:val="auto"/>
              </w:rPr>
              <w:t>1.59</w:t>
            </w: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Basic (loss) income per common share from discontinued operations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(0.56)</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(0.66)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Basic net income (loss) per common share</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1.87</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5.74</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(0.82)</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8.03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5"/>
                <w:szCs w:val="15"/>
                <w:color w:val="auto"/>
              </w:rPr>
              <w:t>Diluted income per common share from continuing operations</w:t>
            </w: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5740" w:type="dxa"/>
            <w:vAlign w:val="bottom"/>
            <w:vMerge w:val="continue"/>
          </w:tcPr>
          <w:p>
            <w:pPr>
              <w:spacing w:after="0"/>
              <w:rPr>
                <w:sz w:val="13"/>
                <w:szCs w:val="13"/>
                <w:color w:val="auto"/>
              </w:rPr>
            </w:pPr>
          </w:p>
        </w:tc>
        <w:tc>
          <w:tcPr>
            <w:tcW w:w="380" w:type="dxa"/>
            <w:vAlign w:val="bottom"/>
          </w:tcPr>
          <w:p>
            <w:pPr>
              <w:jc w:val="right"/>
              <w:ind w:right="66"/>
              <w:spacing w:after="0" w:line="153"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line="153" w:lineRule="exact"/>
              <w:rPr>
                <w:sz w:val="20"/>
                <w:szCs w:val="20"/>
                <w:color w:val="auto"/>
              </w:rPr>
            </w:pPr>
            <w:r>
              <w:rPr>
                <w:rFonts w:ascii="Arial" w:cs="Arial" w:eastAsia="Arial" w:hAnsi="Arial"/>
                <w:sz w:val="15"/>
                <w:szCs w:val="15"/>
                <w:color w:val="auto"/>
              </w:rPr>
              <w:t>2.43</w:t>
            </w:r>
          </w:p>
        </w:tc>
        <w:tc>
          <w:tcPr>
            <w:tcW w:w="380" w:type="dxa"/>
            <w:vAlign w:val="bottom"/>
          </w:tcPr>
          <w:p>
            <w:pPr>
              <w:jc w:val="right"/>
              <w:ind w:right="66"/>
              <w:spacing w:after="0" w:line="153"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66"/>
              <w:spacing w:after="0" w:line="153" w:lineRule="exact"/>
              <w:rPr>
                <w:sz w:val="20"/>
                <w:szCs w:val="20"/>
                <w:color w:val="auto"/>
              </w:rPr>
            </w:pPr>
            <w:r>
              <w:rPr>
                <w:rFonts w:ascii="Arial" w:cs="Arial" w:eastAsia="Arial" w:hAnsi="Arial"/>
                <w:sz w:val="15"/>
                <w:szCs w:val="15"/>
                <w:color w:val="auto"/>
              </w:rPr>
              <w:t>6.40</w:t>
            </w:r>
          </w:p>
        </w:tc>
        <w:tc>
          <w:tcPr>
            <w:tcW w:w="320" w:type="dxa"/>
            <w:vAlign w:val="bottom"/>
          </w:tcPr>
          <w:p>
            <w:pPr>
              <w:jc w:val="right"/>
              <w:ind w:right="6"/>
              <w:spacing w:after="0" w:line="153"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66"/>
              <w:spacing w:after="0" w:line="153" w:lineRule="exact"/>
              <w:rPr>
                <w:sz w:val="20"/>
                <w:szCs w:val="20"/>
                <w:color w:val="auto"/>
              </w:rPr>
            </w:pPr>
            <w:r>
              <w:rPr>
                <w:rFonts w:ascii="Arial" w:cs="Arial" w:eastAsia="Arial" w:hAnsi="Arial"/>
                <w:sz w:val="15"/>
                <w:szCs w:val="15"/>
                <w:color w:val="auto"/>
              </w:rPr>
              <w:t>1.59</w:t>
            </w:r>
          </w:p>
        </w:tc>
        <w:tc>
          <w:tcPr>
            <w:tcW w:w="240" w:type="dxa"/>
            <w:vAlign w:val="bottom"/>
          </w:tcPr>
          <w:p>
            <w:pPr>
              <w:jc w:val="right"/>
              <w:spacing w:after="0" w:line="153" w:lineRule="exact"/>
              <w:rPr>
                <w:sz w:val="20"/>
                <w:szCs w:val="20"/>
                <w:color w:val="auto"/>
              </w:rPr>
            </w:pPr>
            <w:r>
              <w:rPr>
                <w:rFonts w:ascii="Arial" w:cs="Arial" w:eastAsia="Arial" w:hAnsi="Arial"/>
                <w:sz w:val="15"/>
                <w:szCs w:val="15"/>
                <w:color w:val="auto"/>
              </w:rPr>
              <w:t>$</w:t>
            </w:r>
          </w:p>
        </w:tc>
        <w:tc>
          <w:tcPr>
            <w:tcW w:w="1000" w:type="dxa"/>
            <w:vAlign w:val="bottom"/>
          </w:tcPr>
          <w:p>
            <w:pPr>
              <w:jc w:val="right"/>
              <w:spacing w:after="0" w:line="153" w:lineRule="exact"/>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172"/>
        </w:trPr>
        <w:tc>
          <w:tcPr>
            <w:tcW w:w="5740" w:type="dxa"/>
            <w:vAlign w:val="bottom"/>
          </w:tcPr>
          <w:p>
            <w:pPr>
              <w:spacing w:after="0"/>
              <w:rPr>
                <w:sz w:val="20"/>
                <w:szCs w:val="20"/>
                <w:color w:val="auto"/>
              </w:rPr>
            </w:pPr>
            <w:r>
              <w:rPr>
                <w:rFonts w:ascii="Arial" w:cs="Arial" w:eastAsia="Arial" w:hAnsi="Arial"/>
                <w:sz w:val="15"/>
                <w:szCs w:val="15"/>
                <w:color w:val="auto"/>
              </w:rPr>
              <w:t>Diluted (loss) income per common share from discontinued operations</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(0.56)</w:t>
            </w:r>
          </w:p>
        </w:tc>
        <w:tc>
          <w:tcPr>
            <w:tcW w:w="3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(0.66)</w:t>
            </w:r>
          </w:p>
        </w:tc>
        <w:tc>
          <w:tcPr>
            <w:tcW w:w="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(2.41)</w:t>
            </w: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0.03</w:t>
            </w:r>
          </w:p>
        </w:tc>
        <w:tc>
          <w:tcPr>
            <w:tcW w:w="0" w:type="dxa"/>
            <w:vAlign w:val="bottom"/>
          </w:tcPr>
          <w:p>
            <w:pPr>
              <w:spacing w:after="0"/>
              <w:rPr>
                <w:sz w:val="1"/>
                <w:szCs w:val="1"/>
                <w:color w:val="auto"/>
              </w:rPr>
            </w:pP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color w:val="auto"/>
              </w:rPr>
              <w:t>Diluted net income (loss) per common share</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1.87</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5.74</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(0.82)</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8.03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ind w:right="780"/>
        <w:spacing w:after="0" w:line="235" w:lineRule="auto"/>
        <w:rPr>
          <w:sz w:val="20"/>
          <w:szCs w:val="20"/>
          <w:color w:val="auto"/>
        </w:rPr>
      </w:pPr>
      <w:r>
        <w:rPr>
          <w:rFonts w:ascii="Arial" w:cs="Arial" w:eastAsia="Arial" w:hAnsi="Arial"/>
          <w:sz w:val="17"/>
          <w:szCs w:val="17"/>
          <w:color w:val="auto"/>
        </w:rPr>
        <w:t>The following table summarizes the operating results of the Company following the reclassification of operations discussed above as discontinued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2940" w:type="dxa"/>
            <w:vAlign w:val="bottom"/>
            <w:tcBorders>
              <w:bottom w:val="single" w:sz="8" w:color="auto"/>
            </w:tcBorders>
            <w:gridSpan w:val="2"/>
          </w:tcPr>
          <w:p>
            <w:pPr>
              <w:ind w:left="940"/>
              <w:spacing w:after="0"/>
              <w:rPr>
                <w:sz w:val="20"/>
                <w:szCs w:val="20"/>
                <w:color w:val="auto"/>
              </w:rPr>
            </w:pPr>
            <w:r>
              <w:rPr>
                <w:rFonts w:ascii="Arial" w:cs="Arial" w:eastAsia="Arial" w:hAnsi="Arial"/>
                <w:sz w:val="12"/>
                <w:szCs w:val="12"/>
                <w:b w:val="1"/>
                <w:bCs w:val="1"/>
                <w:color w:val="auto"/>
              </w:rPr>
              <w:t>Fiscal Year Ended</w:t>
            </w:r>
          </w:p>
        </w:tc>
      </w:tr>
      <w:tr>
        <w:trPr>
          <w:trHeight w:val="128"/>
        </w:trPr>
        <w:tc>
          <w:tcPr>
            <w:tcW w:w="8480" w:type="dxa"/>
            <w:vAlign w:val="bottom"/>
          </w:tcPr>
          <w:p>
            <w:pPr>
              <w:spacing w:after="0"/>
              <w:rPr>
                <w:sz w:val="11"/>
                <w:szCs w:val="11"/>
                <w:color w:val="auto"/>
              </w:rPr>
            </w:pPr>
          </w:p>
        </w:tc>
        <w:tc>
          <w:tcPr>
            <w:tcW w:w="1520" w:type="dxa"/>
            <w:vAlign w:val="bottom"/>
          </w:tcPr>
          <w:p>
            <w:pPr>
              <w:jc w:val="center"/>
              <w:ind w:right="118"/>
              <w:spacing w:after="0" w:line="129" w:lineRule="exact"/>
              <w:rPr>
                <w:sz w:val="20"/>
                <w:szCs w:val="20"/>
                <w:color w:val="auto"/>
              </w:rPr>
            </w:pPr>
            <w:r>
              <w:rPr>
                <w:rFonts w:ascii="Arial" w:cs="Arial" w:eastAsia="Arial" w:hAnsi="Arial"/>
                <w:sz w:val="12"/>
                <w:szCs w:val="12"/>
                <w:color w:val="auto"/>
              </w:rPr>
              <w:t>December 31,</w:t>
            </w:r>
          </w:p>
        </w:tc>
        <w:tc>
          <w:tcPr>
            <w:tcW w:w="1420" w:type="dxa"/>
            <w:vAlign w:val="bottom"/>
          </w:tcPr>
          <w:p>
            <w:pPr>
              <w:jc w:val="center"/>
              <w:ind w:left="18"/>
              <w:spacing w:after="0" w:line="129" w:lineRule="exact"/>
              <w:rPr>
                <w:sz w:val="20"/>
                <w:szCs w:val="20"/>
                <w:color w:val="auto"/>
              </w:rPr>
            </w:pPr>
            <w:r>
              <w:rPr>
                <w:rFonts w:ascii="Arial" w:cs="Arial" w:eastAsia="Arial" w:hAnsi="Arial"/>
                <w:sz w:val="12"/>
                <w:szCs w:val="12"/>
                <w:color w:val="auto"/>
              </w:rPr>
              <w:t>January 2,</w:t>
            </w:r>
          </w:p>
        </w:tc>
      </w:tr>
      <w:tr>
        <w:trPr>
          <w:trHeight w:val="148"/>
        </w:trPr>
        <w:tc>
          <w:tcPr>
            <w:tcW w:w="8480" w:type="dxa"/>
            <w:vAlign w:val="bottom"/>
          </w:tcPr>
          <w:p>
            <w:pPr>
              <w:spacing w:after="0"/>
              <w:rPr>
                <w:sz w:val="20"/>
                <w:szCs w:val="20"/>
                <w:color w:val="auto"/>
              </w:rPr>
            </w:pPr>
            <w:r>
              <w:rPr>
                <w:rFonts w:ascii="Arial" w:cs="Arial" w:eastAsia="Arial" w:hAnsi="Arial"/>
                <w:sz w:val="12"/>
                <w:szCs w:val="12"/>
                <w:color w:val="auto"/>
              </w:rPr>
              <w:t>(in thousands, except per share amounts)</w:t>
            </w:r>
          </w:p>
        </w:tc>
        <w:tc>
          <w:tcPr>
            <w:tcW w:w="1520" w:type="dxa"/>
            <w:vAlign w:val="bottom"/>
          </w:tcPr>
          <w:p>
            <w:pPr>
              <w:jc w:val="right"/>
              <w:ind w:right="658"/>
              <w:spacing w:after="0"/>
              <w:rPr>
                <w:sz w:val="20"/>
                <w:szCs w:val="20"/>
                <w:color w:val="auto"/>
              </w:rPr>
            </w:pPr>
            <w:r>
              <w:rPr>
                <w:rFonts w:ascii="Arial" w:cs="Arial" w:eastAsia="Arial" w:hAnsi="Arial"/>
                <w:sz w:val="12"/>
                <w:szCs w:val="12"/>
                <w:color w:val="auto"/>
              </w:rPr>
              <w:t>2011</w:t>
            </w:r>
          </w:p>
        </w:tc>
        <w:tc>
          <w:tcPr>
            <w:tcW w:w="1420" w:type="dxa"/>
            <w:vAlign w:val="bottom"/>
          </w:tcPr>
          <w:p>
            <w:pPr>
              <w:jc w:val="right"/>
              <w:ind w:right="498"/>
              <w:spacing w:after="0"/>
              <w:rPr>
                <w:sz w:val="20"/>
                <w:szCs w:val="20"/>
                <w:color w:val="auto"/>
              </w:rPr>
            </w:pPr>
            <w:r>
              <w:rPr>
                <w:rFonts w:ascii="Arial" w:cs="Arial" w:eastAsia="Arial" w:hAnsi="Arial"/>
                <w:sz w:val="12"/>
                <w:szCs w:val="12"/>
                <w:color w:val="auto"/>
              </w:rPr>
              <w:t>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725741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76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p>
      <w:pPr>
        <w:spacing w:after="0"/>
        <w:rPr>
          <w:sz w:val="20"/>
          <w:szCs w:val="20"/>
          <w:color w:val="auto"/>
        </w:rPr>
      </w:pPr>
      <w:r>
        <w:rPr>
          <w:rFonts w:ascii="Arial" w:cs="Arial" w:eastAsia="Arial" w:hAnsi="Arial"/>
          <w:sz w:val="15"/>
          <w:szCs w:val="15"/>
          <w:b w:val="1"/>
          <w:bCs w:val="1"/>
          <w:color w:val="auto"/>
        </w:rPr>
        <w:t>Operating Revenues</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Education</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Advertising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Circulation and subscriber</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Operating Costs and Expenses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Operating</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Selling, general and administrative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Depreciation of property, plant and equipment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Amortization of intangible assets</w:t>
      </w:r>
    </w:p>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from Operations</w:t>
      </w:r>
    </w:p>
    <w:p>
      <w:pPr>
        <w:spacing w:after="0" w:line="19" w:lineRule="exact"/>
        <w:rPr>
          <w:sz w:val="20"/>
          <w:szCs w:val="20"/>
          <w:color w:val="auto"/>
        </w:rPr>
      </w:pPr>
    </w:p>
    <w:p>
      <w:pPr>
        <w:ind w:left="240"/>
        <w:spacing w:after="0"/>
        <w:rPr>
          <w:sz w:val="20"/>
          <w:szCs w:val="20"/>
          <w:color w:val="auto"/>
        </w:rPr>
      </w:pPr>
      <w:r>
        <w:rPr>
          <w:rFonts w:ascii="Arial" w:cs="Arial" w:eastAsia="Arial" w:hAnsi="Arial"/>
          <w:sz w:val="15"/>
          <w:szCs w:val="15"/>
          <w:color w:val="auto"/>
        </w:rPr>
        <w:t>Equity in earnings (losses) of affiliates, net</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Interest income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Interest expense</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5"/>
          <w:szCs w:val="15"/>
          <w:color w:val="auto"/>
        </w:rPr>
        <w:t>Other (expense) income, net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from Continuing Operations Before Income Taxes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Provision for Income Taxes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from Continuing Operations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Loss from Discontinued Operations, Net of Tax</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Loss attributable to noncontrolling interests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Net Income Attributable to The Washington Post Company</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Redeemable Preferred Stock Dividends</w:t>
      </w:r>
    </w:p>
    <w:p>
      <w:pPr>
        <w:spacing w:after="0" w:line="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Net Income Attributable to The Washington Post Company Common Stockholders</w:t>
      </w:r>
    </w:p>
    <w:p>
      <w:pPr>
        <w:spacing w:after="0" w:line="38" w:lineRule="exact"/>
        <w:rPr>
          <w:sz w:val="20"/>
          <w:szCs w:val="20"/>
          <w:color w:val="auto"/>
        </w:rPr>
      </w:pPr>
    </w:p>
    <w:p>
      <w:pPr>
        <w:ind w:right="2100"/>
        <w:spacing w:after="0" w:line="254" w:lineRule="auto"/>
        <w:rPr>
          <w:sz w:val="20"/>
          <w:szCs w:val="20"/>
          <w:color w:val="auto"/>
        </w:rPr>
      </w:pPr>
      <w:r>
        <w:rPr>
          <w:rFonts w:ascii="Arial" w:cs="Arial" w:eastAsia="Arial" w:hAnsi="Arial"/>
          <w:sz w:val="15"/>
          <w:szCs w:val="15"/>
          <w:b w:val="1"/>
          <w:bCs w:val="1"/>
          <w:color w:val="auto"/>
        </w:rPr>
        <w:t xml:space="preserve">Amounts Attributable to The Washington Post Company Common Stockholders </w:t>
      </w:r>
      <w:r>
        <w:rPr>
          <w:rFonts w:ascii="Arial" w:cs="Arial" w:eastAsia="Arial" w:hAnsi="Arial"/>
          <w:sz w:val="15"/>
          <w:szCs w:val="15"/>
          <w:color w:val="auto"/>
        </w:rPr>
        <w:t>Income from continuing operations</w:t>
      </w:r>
    </w:p>
    <w:p>
      <w:pPr>
        <w:spacing w:after="0"/>
        <w:rPr>
          <w:sz w:val="20"/>
          <w:szCs w:val="20"/>
          <w:color w:val="auto"/>
        </w:rPr>
      </w:pPr>
      <w:r>
        <w:rPr>
          <w:rFonts w:ascii="Arial" w:cs="Arial" w:eastAsia="Arial" w:hAnsi="Arial"/>
          <w:sz w:val="15"/>
          <w:szCs w:val="15"/>
          <w:color w:val="auto"/>
        </w:rPr>
        <w:t>Loss from discontinued operations, net of tax</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Net income attributable to the Washington Post Company common stockholders</w:t>
      </w:r>
    </w:p>
    <w:p>
      <w:pPr>
        <w:spacing w:after="0" w:line="8" w:lineRule="exact"/>
        <w:rPr>
          <w:sz w:val="20"/>
          <w:szCs w:val="20"/>
          <w:color w:val="auto"/>
        </w:rPr>
      </w:pPr>
    </w:p>
    <w:p>
      <w:pPr>
        <w:ind w:left="240" w:right="2180" w:hanging="235"/>
        <w:spacing w:after="0" w:line="254" w:lineRule="auto"/>
        <w:rPr>
          <w:sz w:val="20"/>
          <w:szCs w:val="20"/>
          <w:color w:val="auto"/>
        </w:rPr>
      </w:pPr>
      <w:r>
        <w:rPr>
          <w:rFonts w:ascii="Arial" w:cs="Arial" w:eastAsia="Arial" w:hAnsi="Arial"/>
          <w:sz w:val="15"/>
          <w:szCs w:val="15"/>
          <w:b w:val="1"/>
          <w:bCs w:val="1"/>
          <w:color w:val="auto"/>
        </w:rPr>
        <w:t>Per Share Information Attributable to The Washington Post Company Common Stockholders</w:t>
      </w:r>
    </w:p>
    <w:p>
      <w:pPr>
        <w:spacing w:after="0"/>
        <w:rPr>
          <w:sz w:val="20"/>
          <w:szCs w:val="20"/>
          <w:color w:val="auto"/>
        </w:rPr>
      </w:pPr>
      <w:r>
        <w:rPr>
          <w:rFonts w:ascii="Arial" w:cs="Arial" w:eastAsia="Arial" w:hAnsi="Arial"/>
          <w:sz w:val="15"/>
          <w:szCs w:val="15"/>
          <w:color w:val="auto"/>
        </w:rPr>
        <w:t>Basic income per common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Basic loss per common share from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Basic net income per common share</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Diluted income per common share from continuing operations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Diluted loss per common share from discontinued operations</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Diluted net income per common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2,404,459</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2,804,840</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754,544</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833,605</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856,457</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857,290</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115,685</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90,682</w:t>
            </w:r>
          </w:p>
        </w:tc>
      </w:tr>
      <w:tr>
        <w:trPr>
          <w:trHeight w:val="166"/>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4,131,145</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4,586,417</w:t>
            </w:r>
          </w:p>
        </w:tc>
      </w:tr>
      <w:tr>
        <w:trPr>
          <w:trHeight w:val="342"/>
        </w:trPr>
        <w:tc>
          <w:tcPr>
            <w:tcW w:w="440" w:type="dxa"/>
            <w:vAlign w:val="bottom"/>
          </w:tcPr>
          <w:p>
            <w:pPr>
              <w:spacing w:after="0"/>
              <w:rPr>
                <w:sz w:val="24"/>
                <w:szCs w:val="24"/>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1,904,161</w:t>
            </w:r>
          </w:p>
        </w:tc>
        <w:tc>
          <w:tcPr>
            <w:tcW w:w="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1,850,402</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1,629,726</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1,869,194</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249,065</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242,405</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22,335</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21,552</w:t>
            </w:r>
          </w:p>
        </w:tc>
      </w:tr>
      <w:tr>
        <w:trPr>
          <w:trHeight w:val="166"/>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3,805,287</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3,983,553</w:t>
            </w:r>
          </w:p>
        </w:tc>
      </w:tr>
      <w:tr>
        <w:trPr>
          <w:trHeight w:val="168"/>
        </w:trPr>
        <w:tc>
          <w:tcPr>
            <w:tcW w:w="440" w:type="dxa"/>
            <w:vAlign w:val="bottom"/>
          </w:tcPr>
          <w:p>
            <w:pPr>
              <w:spacing w:after="0"/>
              <w:rPr>
                <w:sz w:val="14"/>
                <w:szCs w:val="14"/>
                <w:color w:val="auto"/>
              </w:rPr>
            </w:pPr>
          </w:p>
        </w:tc>
        <w:tc>
          <w:tcPr>
            <w:tcW w:w="108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325,858</w:t>
            </w:r>
          </w:p>
        </w:tc>
        <w:tc>
          <w:tcPr>
            <w:tcW w:w="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602,864</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5,949</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(4,133)</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4,147</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2,576</w:t>
            </w:r>
          </w:p>
        </w:tc>
      </w:tr>
      <w:tr>
        <w:trPr>
          <w:trHeight w:val="174"/>
        </w:trPr>
        <w:tc>
          <w:tcPr>
            <w:tcW w:w="440" w:type="dxa"/>
            <w:vAlign w:val="bottom"/>
          </w:tcPr>
          <w:p>
            <w:pPr>
              <w:spacing w:after="0"/>
              <w:rPr>
                <w:sz w:val="15"/>
                <w:szCs w:val="15"/>
                <w:color w:val="auto"/>
              </w:rPr>
            </w:pP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(33,226)</w:t>
            </w:r>
          </w:p>
        </w:tc>
        <w:tc>
          <w:tcPr>
            <w:tcW w:w="5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(30,503)</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(55,200)</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7,515</w:t>
            </w:r>
          </w:p>
        </w:tc>
      </w:tr>
      <w:tr>
        <w:trPr>
          <w:trHeight w:val="168"/>
        </w:trPr>
        <w:tc>
          <w:tcPr>
            <w:tcW w:w="440" w:type="dxa"/>
            <w:vAlign w:val="bottom"/>
          </w:tcPr>
          <w:p>
            <w:pPr>
              <w:spacing w:after="0"/>
              <w:rPr>
                <w:sz w:val="14"/>
                <w:szCs w:val="14"/>
                <w:color w:val="auto"/>
              </w:rPr>
            </w:pPr>
          </w:p>
        </w:tc>
        <w:tc>
          <w:tcPr>
            <w:tcW w:w="108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247,528</w:t>
            </w:r>
          </w:p>
        </w:tc>
        <w:tc>
          <w:tcPr>
            <w:tcW w:w="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578,319</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101,900</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222,400</w:t>
            </w:r>
          </w:p>
        </w:tc>
      </w:tr>
      <w:tr>
        <w:trPr>
          <w:trHeight w:val="168"/>
        </w:trPr>
        <w:tc>
          <w:tcPr>
            <w:tcW w:w="440" w:type="dxa"/>
            <w:vAlign w:val="bottom"/>
          </w:tcPr>
          <w:p>
            <w:pPr>
              <w:spacing w:after="0"/>
              <w:rPr>
                <w:sz w:val="14"/>
                <w:szCs w:val="14"/>
                <w:color w:val="auto"/>
              </w:rPr>
            </w:pPr>
          </w:p>
        </w:tc>
        <w:tc>
          <w:tcPr>
            <w:tcW w:w="108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145,628</w:t>
            </w:r>
          </w:p>
        </w:tc>
        <w:tc>
          <w:tcPr>
            <w:tcW w:w="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355,919</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(28,471)</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(77,899)</w:t>
            </w:r>
          </w:p>
        </w:tc>
      </w:tr>
      <w:tr>
        <w:trPr>
          <w:trHeight w:val="168"/>
        </w:trPr>
        <w:tc>
          <w:tcPr>
            <w:tcW w:w="440" w:type="dxa"/>
            <w:vAlign w:val="bottom"/>
          </w:tcPr>
          <w:p>
            <w:pPr>
              <w:spacing w:after="0"/>
              <w:rPr>
                <w:sz w:val="14"/>
                <w:szCs w:val="14"/>
                <w:color w:val="auto"/>
              </w:rPr>
            </w:pPr>
          </w:p>
        </w:tc>
        <w:tc>
          <w:tcPr>
            <w:tcW w:w="108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117,157</w:t>
            </w:r>
          </w:p>
        </w:tc>
        <w:tc>
          <w:tcPr>
            <w:tcW w:w="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278,020</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94</w:t>
            </w:r>
          </w:p>
        </w:tc>
      </w:tr>
      <w:tr>
        <w:trPr>
          <w:trHeight w:val="168"/>
        </w:trPr>
        <w:tc>
          <w:tcPr>
            <w:tcW w:w="440" w:type="dxa"/>
            <w:vAlign w:val="bottom"/>
          </w:tcPr>
          <w:p>
            <w:pPr>
              <w:spacing w:after="0"/>
              <w:rPr>
                <w:sz w:val="14"/>
                <w:szCs w:val="14"/>
                <w:color w:val="auto"/>
              </w:rPr>
            </w:pPr>
          </w:p>
        </w:tc>
        <w:tc>
          <w:tcPr>
            <w:tcW w:w="1080" w:type="dxa"/>
            <w:vAlign w:val="bottom"/>
          </w:tcPr>
          <w:p>
            <w:pPr>
              <w:jc w:val="right"/>
              <w:ind w:right="126"/>
              <w:spacing w:after="0" w:line="168" w:lineRule="exact"/>
              <w:rPr>
                <w:sz w:val="20"/>
                <w:szCs w:val="20"/>
                <w:color w:val="auto"/>
              </w:rPr>
            </w:pPr>
            <w:r>
              <w:rPr>
                <w:rFonts w:ascii="Arial" w:cs="Arial" w:eastAsia="Arial" w:hAnsi="Arial"/>
                <w:sz w:val="15"/>
                <w:szCs w:val="15"/>
                <w:color w:val="auto"/>
              </w:rPr>
              <w:t>117,150</w:t>
            </w:r>
          </w:p>
        </w:tc>
        <w:tc>
          <w:tcPr>
            <w:tcW w:w="5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Arial" w:cs="Arial" w:eastAsia="Arial" w:hAnsi="Arial"/>
                <w:sz w:val="15"/>
                <w:szCs w:val="15"/>
                <w:color w:val="auto"/>
              </w:rPr>
              <w:t>278,114</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(917)</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(922)</w:t>
            </w:r>
          </w:p>
        </w:tc>
      </w:tr>
      <w:tr>
        <w:trPr>
          <w:trHeight w:val="166"/>
        </w:trPr>
        <w:tc>
          <w:tcPr>
            <w:tcW w:w="4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116,233</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277,192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326"/>
        </w:trPr>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144,704</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355,091</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(28,471)</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(77,899)</w:t>
            </w:r>
          </w:p>
        </w:tc>
      </w:tr>
      <w:tr>
        <w:trPr>
          <w:trHeight w:val="166"/>
        </w:trPr>
        <w:tc>
          <w:tcPr>
            <w:tcW w:w="4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116,233</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277,192</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00"/>
        </w:trPr>
        <w:tc>
          <w:tcPr>
            <w:tcW w:w="44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26"/>
              <w:spacing w:after="0"/>
              <w:rPr>
                <w:sz w:val="20"/>
                <w:szCs w:val="20"/>
                <w:color w:val="auto"/>
              </w:rPr>
            </w:pPr>
            <w:r>
              <w:rPr>
                <w:rFonts w:ascii="Arial" w:cs="Arial" w:eastAsia="Arial" w:hAnsi="Arial"/>
                <w:sz w:val="15"/>
                <w:szCs w:val="15"/>
                <w:color w:val="auto"/>
              </w:rPr>
              <w:t>18.30</w:t>
            </w:r>
          </w:p>
        </w:tc>
        <w:tc>
          <w:tcPr>
            <w:tcW w:w="50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39.78</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(3.60)</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w:t>
            </w:r>
          </w:p>
        </w:tc>
      </w:tr>
      <w:tr>
        <w:trPr>
          <w:trHeight w:val="166"/>
        </w:trPr>
        <w:tc>
          <w:tcPr>
            <w:tcW w:w="4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14.70</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31.06</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53"/>
        </w:trPr>
        <w:tc>
          <w:tcPr>
            <w:tcW w:w="440" w:type="dxa"/>
            <w:vAlign w:val="bottom"/>
          </w:tcPr>
          <w:p>
            <w:pPr>
              <w:jc w:val="right"/>
              <w:ind w:right="146"/>
              <w:spacing w:after="0" w:line="153" w:lineRule="exact"/>
              <w:rPr>
                <w:sz w:val="20"/>
                <w:szCs w:val="20"/>
                <w:color w:val="auto"/>
              </w:rPr>
            </w:pPr>
            <w:r>
              <w:rPr>
                <w:rFonts w:ascii="Arial" w:cs="Arial" w:eastAsia="Arial" w:hAnsi="Arial"/>
                <w:sz w:val="15"/>
                <w:szCs w:val="15"/>
                <w:color w:val="auto"/>
              </w:rPr>
              <w:t>$</w:t>
            </w:r>
          </w:p>
        </w:tc>
        <w:tc>
          <w:tcPr>
            <w:tcW w:w="1080" w:type="dxa"/>
            <w:vAlign w:val="bottom"/>
          </w:tcPr>
          <w:p>
            <w:pPr>
              <w:jc w:val="right"/>
              <w:ind w:right="126"/>
              <w:spacing w:after="0" w:line="153" w:lineRule="exact"/>
              <w:rPr>
                <w:sz w:val="20"/>
                <w:szCs w:val="20"/>
                <w:color w:val="auto"/>
              </w:rPr>
            </w:pPr>
            <w:r>
              <w:rPr>
                <w:rFonts w:ascii="Arial" w:cs="Arial" w:eastAsia="Arial" w:hAnsi="Arial"/>
                <w:sz w:val="15"/>
                <w:szCs w:val="15"/>
                <w:color w:val="auto"/>
              </w:rPr>
              <w:t>18.30</w:t>
            </w:r>
          </w:p>
        </w:tc>
        <w:tc>
          <w:tcPr>
            <w:tcW w:w="500" w:type="dxa"/>
            <w:vAlign w:val="bottom"/>
          </w:tcPr>
          <w:p>
            <w:pPr>
              <w:jc w:val="right"/>
              <w:ind w:right="146"/>
              <w:spacing w:after="0" w:line="153" w:lineRule="exact"/>
              <w:rPr>
                <w:sz w:val="20"/>
                <w:szCs w:val="20"/>
                <w:color w:val="auto"/>
              </w:rPr>
            </w:pPr>
            <w:r>
              <w:rPr>
                <w:rFonts w:ascii="Arial" w:cs="Arial" w:eastAsia="Arial" w:hAnsi="Arial"/>
                <w:sz w:val="15"/>
                <w:szCs w:val="15"/>
                <w:color w:val="auto"/>
              </w:rPr>
              <w:t>$</w:t>
            </w:r>
          </w:p>
        </w:tc>
        <w:tc>
          <w:tcPr>
            <w:tcW w:w="920" w:type="dxa"/>
            <w:vAlign w:val="bottom"/>
          </w:tcPr>
          <w:p>
            <w:pPr>
              <w:jc w:val="right"/>
              <w:spacing w:after="0" w:line="153" w:lineRule="exact"/>
              <w:rPr>
                <w:sz w:val="20"/>
                <w:szCs w:val="20"/>
                <w:color w:val="auto"/>
              </w:rPr>
            </w:pPr>
            <w:r>
              <w:rPr>
                <w:rFonts w:ascii="Arial" w:cs="Arial" w:eastAsia="Arial" w:hAnsi="Arial"/>
                <w:sz w:val="15"/>
                <w:szCs w:val="15"/>
                <w:color w:val="auto"/>
              </w:rPr>
              <w:t>39.76</w:t>
            </w:r>
          </w:p>
        </w:tc>
      </w:tr>
      <w:tr>
        <w:trPr>
          <w:trHeight w:val="172"/>
        </w:trPr>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(3.60)</w:t>
            </w:r>
          </w:p>
        </w:tc>
        <w:tc>
          <w:tcPr>
            <w:tcW w:w="5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(8.72)</w:t>
            </w:r>
          </w:p>
        </w:tc>
      </w:tr>
      <w:tr>
        <w:trPr>
          <w:trHeight w:val="166"/>
        </w:trPr>
        <w:tc>
          <w:tcPr>
            <w:tcW w:w="44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14.70</w:t>
            </w:r>
          </w:p>
        </w:tc>
        <w:tc>
          <w:tcPr>
            <w:tcW w:w="50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31.04</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ectPr>
          <w:pgSz w:w="11900" w:h="16838" w:orient="portrait"/>
          <w:cols w:equalWidth="0" w:num="2">
            <w:col w:w="7760" w:space="720"/>
            <w:col w:w="2940"/>
          </w:cols>
          <w:pgMar w:left="240" w:top="871"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7"/>
          <w:szCs w:val="17"/>
          <w:b w:val="1"/>
          <w:bCs w:val="1"/>
          <w:color w:val="auto"/>
        </w:rPr>
        <w:t>3. INVESTMENTS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Investments in marketable equity securities comprised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jc w:val="right"/>
              <w:ind w:right="351"/>
              <w:spacing w:after="0"/>
              <w:rPr>
                <w:sz w:val="20"/>
                <w:szCs w:val="20"/>
                <w:color w:val="auto"/>
              </w:rPr>
            </w:pPr>
            <w:r>
              <w:rPr>
                <w:rFonts w:ascii="Arial" w:cs="Arial" w:eastAsia="Arial" w:hAnsi="Arial"/>
                <w:sz w:val="12"/>
                <w:szCs w:val="12"/>
                <w:b w:val="1"/>
                <w:bCs w:val="1"/>
                <w:color w:val="auto"/>
              </w:rPr>
              <w:t>September 30,</w:t>
            </w:r>
          </w:p>
        </w:tc>
        <w:tc>
          <w:tcPr>
            <w:tcW w:w="320" w:type="dxa"/>
            <w:vAlign w:val="bottom"/>
          </w:tcPr>
          <w:p>
            <w:pPr>
              <w:spacing w:after="0"/>
              <w:rPr>
                <w:sz w:val="12"/>
                <w:szCs w:val="12"/>
                <w:color w:val="auto"/>
              </w:rPr>
            </w:pPr>
          </w:p>
        </w:tc>
        <w:tc>
          <w:tcPr>
            <w:tcW w:w="1100" w:type="dxa"/>
            <w:vAlign w:val="bottom"/>
          </w:tcPr>
          <w:p>
            <w:pPr>
              <w:jc w:val="right"/>
              <w:ind w:right="211"/>
              <w:spacing w:after="0"/>
              <w:rPr>
                <w:sz w:val="20"/>
                <w:szCs w:val="20"/>
                <w:color w:val="auto"/>
              </w:rPr>
            </w:pPr>
            <w:r>
              <w:rPr>
                <w:rFonts w:ascii="Arial" w:cs="Arial" w:eastAsia="Arial" w:hAnsi="Arial"/>
                <w:sz w:val="12"/>
                <w:szCs w:val="12"/>
                <w:color w:val="auto"/>
              </w:rPr>
              <w:t>December 31,</w:t>
            </w:r>
          </w:p>
        </w:tc>
      </w:tr>
      <w:tr>
        <w:trPr>
          <w:trHeight w:val="151"/>
        </w:trPr>
        <w:tc>
          <w:tcPr>
            <w:tcW w:w="8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2"/>
                <w:szCs w:val="12"/>
                <w:color w:val="auto"/>
              </w:rPr>
              <w:t>2011</w:t>
            </w: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Total cost</w:t>
            </w:r>
          </w:p>
        </w:tc>
        <w:tc>
          <w:tcPr>
            <w:tcW w:w="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31"/>
              <w:spacing w:after="0" w:line="150" w:lineRule="exact"/>
              <w:rPr>
                <w:sz w:val="20"/>
                <w:szCs w:val="20"/>
                <w:color w:val="auto"/>
              </w:rPr>
            </w:pPr>
            <w:r>
              <w:rPr>
                <w:rFonts w:ascii="Arial" w:cs="Arial" w:eastAsia="Arial" w:hAnsi="Arial"/>
                <w:sz w:val="15"/>
                <w:szCs w:val="15"/>
                <w:b w:val="1"/>
                <w:bCs w:val="1"/>
                <w:color w:val="auto"/>
              </w:rPr>
              <w:t>213,831</w:t>
            </w:r>
          </w:p>
        </w:tc>
        <w:tc>
          <w:tcPr>
            <w:tcW w:w="32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50" w:lineRule="exact"/>
              <w:rPr>
                <w:sz w:val="20"/>
                <w:szCs w:val="20"/>
                <w:color w:val="auto"/>
              </w:rPr>
            </w:pPr>
            <w:r>
              <w:rPr>
                <w:rFonts w:ascii="Arial" w:cs="Arial" w:eastAsia="Arial" w:hAnsi="Arial"/>
                <w:sz w:val="15"/>
                <w:szCs w:val="15"/>
                <w:color w:val="auto"/>
              </w:rPr>
              <w:t>169,271</w:t>
            </w: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Net unrealized gains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31"/>
              <w:spacing w:after="0"/>
              <w:rPr>
                <w:sz w:val="20"/>
                <w:szCs w:val="20"/>
                <w:color w:val="auto"/>
              </w:rPr>
            </w:pPr>
            <w:r>
              <w:rPr>
                <w:rFonts w:ascii="Arial" w:cs="Arial" w:eastAsia="Arial" w:hAnsi="Arial"/>
                <w:sz w:val="15"/>
                <w:szCs w:val="15"/>
                <w:b w:val="1"/>
                <w:bCs w:val="1"/>
                <w:color w:val="auto"/>
              </w:rPr>
              <w:t>166,097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133,930</w:t>
            </w:r>
          </w:p>
        </w:tc>
      </w:tr>
      <w:tr>
        <w:trPr>
          <w:trHeight w:val="166"/>
        </w:trPr>
        <w:tc>
          <w:tcPr>
            <w:tcW w:w="8480" w:type="dxa"/>
            <w:vAlign w:val="bottom"/>
          </w:tcPr>
          <w:p>
            <w:pPr>
              <w:spacing w:after="0" w:line="167" w:lineRule="exact"/>
              <w:rPr>
                <w:sz w:val="20"/>
                <w:szCs w:val="20"/>
                <w:color w:val="auto"/>
              </w:rPr>
            </w:pPr>
            <w:r>
              <w:rPr>
                <w:rFonts w:ascii="Arial" w:cs="Arial" w:eastAsia="Arial" w:hAnsi="Arial"/>
                <w:sz w:val="15"/>
                <w:szCs w:val="15"/>
                <w:b w:val="1"/>
                <w:bCs w:val="1"/>
                <w:color w:val="auto"/>
              </w:rPr>
              <w:t>Total Fair Value</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31"/>
              <w:spacing w:after="0" w:line="167" w:lineRule="exact"/>
              <w:rPr>
                <w:sz w:val="20"/>
                <w:szCs w:val="20"/>
                <w:color w:val="auto"/>
              </w:rPr>
            </w:pPr>
            <w:r>
              <w:rPr>
                <w:rFonts w:ascii="Arial" w:cs="Arial" w:eastAsia="Arial" w:hAnsi="Arial"/>
                <w:sz w:val="15"/>
                <w:szCs w:val="15"/>
                <w:b w:val="1"/>
                <w:bCs w:val="1"/>
                <w:color w:val="auto"/>
              </w:rPr>
              <w:t>379,928</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303,201</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auto"/>
        </w:rPr>
        <w:t>The Company invested $45.0 million in marketable equity securities during the first nine months of 2012. There were no new investments in marketable equity securities during the first nine months of 2011. During the first nine months of 2012, proceeds from sales of marketable equity securities were $2.0 million, and net realized gains on such sales were $0.5 million. There were no sales of marketable equity securities in the first nine months of 2011.</w:t>
      </w:r>
    </w:p>
    <w:p>
      <w:pPr>
        <w:spacing w:after="0" w:line="16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As of September 30, 2012, the Company has a $ 14.1 million unrealized loss on its investment in Strayer Education, Inc., a publicly traded company. At September 30, 2012, the investment has been in an unrealized loss position for under three months. The Company evaluated this investment for other-than-temporary impairment based on various factors, including the duration and severity of the unrealized loss, the reason for the decline in value and the potential recovery period, and the ability and intent to hold the investment and concluded that the unrealized loss is not other-than-temporary as of September 30, 2012. If any impairment is considered other-than-temporary, the investment will be written down to its fair market value with a corresponding charge to the Consolidated Statement of Operations.</w:t>
      </w:r>
    </w:p>
    <w:p>
      <w:pPr>
        <w:spacing w:after="0" w:line="179"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At the end of the first quarter of 2011, the Company’s investment in Corinthian Colleges, Inc. had been in an unrealized loss position for over six months. The Company evaluated this investment for other-than-temporary impairment based on various factors, including the duration and severity of the unrealized loss, the reason for the decline in value and the potential recovery period, and the Company’s ability and intent to hold the investment. In the first quarter of 2011, the Company concluded the loss was other-than-temporary and recorded a $30.7 million write-down on the investment. The investment continued to decline and in the third quarter of 2011, the Company recorded another $23.1 million write-down on the investment. The Company’s investment in Corinthian Colleges, Inc. accounted for $17.8 million of the total fair value of the Company’s investments in marketable equity securities at September 30, 2012.</w:t>
      </w:r>
    </w:p>
    <w:p>
      <w:pPr>
        <w:spacing w:after="0" w:line="178"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In the third quarter of 2011, the Company recorded a $9.2 million impairment charge on the Company’s interest in Bowater Mersey Paper Company, as a result of the challenging economic environment for newsprint producers.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ACQUISITIONS AND DISPOSITIONS</w:t>
      </w:r>
    </w:p>
    <w:p>
      <w:pPr>
        <w:spacing w:after="0" w:line="209"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In the first nine months of 2012, the Company acquired three small businesses in its education division and one small business included in other businesses; the purchase price allocation mostly comprised goodwill and other intangible assets on a preliminary basis. In the first nine months of 2011, the Company acquired four businesses. These acquisitions included Kaplan’s May 2011 acquisitions of Franklyn Scholar and Carrick Education Group, leading national providers of vocational training and higher education in Australia. In June 2011, Kaplan acquired Structuralia, a provider of e-learning for the engineering and infrastructure sector in Spain. The Company did not make any acquisitions during the third quarters of 2012 or 2011. The assets and liabilities of the companies acquired have been recorded at their estimated fair values at the date of acquisition.</w:t>
      </w:r>
    </w:p>
    <w:p>
      <w:pPr>
        <w:spacing w:after="0" w:line="179"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In September 2012, the Company entered into a stock purchase agreement to acquire a controlling interest in Celtic Healthcare, Inc. (Celtic), a provider of home healthcare and hospice services in the northeastern and mid-Atlantic regions. The transaction closed on November 5, 2012. The operating results of Celtic will be included in other businesses.</w:t>
      </w:r>
    </w:p>
    <w:p>
      <w:pPr>
        <w:spacing w:after="0" w:line="175"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 divested its interested in Avenue100 Media Solutions in July 2012, which was previously reported in other businesses. Kaplan completed the sales of Kidum in August 2012, EduNeering in April 2012 and Kaplan Learning Technologies in February 2012, which were part of the Kaplan Ventures division. In October 2011, Kaplan completed the sale of Kaplan Compliance Solutions, which was part of the Kaplan Higher Education division. In July 2011, Kaplan completed the sale of Kaplan Virtual Education, which was part of Kaplan Ventures division.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13" w:name="page14"/>
    <w:bookmarkEnd w:id="13"/>
    <w:p>
      <w:pPr>
        <w:ind w:left="40"/>
        <w:spacing w:after="0"/>
        <w:rPr>
          <w:sz w:val="20"/>
          <w:szCs w:val="20"/>
          <w:color w:val="auto"/>
        </w:rPr>
      </w:pPr>
      <w:r>
        <w:rPr>
          <w:rFonts w:ascii="Arial" w:cs="Arial" w:eastAsia="Arial" w:hAnsi="Arial"/>
          <w:sz w:val="17"/>
          <w:szCs w:val="17"/>
          <w:b w:val="1"/>
          <w:bCs w:val="1"/>
          <w:color w:val="auto"/>
        </w:rPr>
        <w:t>5. GOODWILL AND OTHER INTANGIBLE ASSETS</w:t>
      </w:r>
    </w:p>
    <w:p>
      <w:pPr>
        <w:spacing w:after="0" w:line="197" w:lineRule="exact"/>
        <w:rPr>
          <w:sz w:val="20"/>
          <w:szCs w:val="20"/>
          <w:color w:val="auto"/>
        </w:rPr>
      </w:pPr>
    </w:p>
    <w:p>
      <w:pPr>
        <w:ind w:right="140"/>
        <w:spacing w:after="0" w:line="232" w:lineRule="auto"/>
        <w:rPr>
          <w:sz w:val="20"/>
          <w:szCs w:val="20"/>
          <w:color w:val="auto"/>
        </w:rPr>
      </w:pPr>
      <w:r>
        <w:rPr>
          <w:rFonts w:ascii="Arial" w:cs="Arial" w:eastAsia="Arial" w:hAnsi="Arial"/>
          <w:sz w:val="17"/>
          <w:szCs w:val="17"/>
          <w:color w:val="auto"/>
        </w:rPr>
        <w:t>Amortization of intangible assets for the three months ended September 30, 2012 and October 2, 2011 was $5.1 million and $9.3 million, respectively. Amortization of intangible assets for the nine months ended September 30, 2012 and October 2, 2011 was $13.8 million and $ 23.5 million. Amortization of intangible assets is estimated to be approximately $5 million for the remainder of 2012, $15 million in 2013, $8 million in 2014, $5 million in 2015, $5 million in 2016, $5 million in 2017 and $4 million thereafter.</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segment,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jc w:val="right"/>
              <w:ind w:right="208"/>
              <w:spacing w:after="0"/>
              <w:rPr>
                <w:sz w:val="20"/>
                <w:szCs w:val="20"/>
                <w:color w:val="auto"/>
              </w:rPr>
            </w:pPr>
            <w:r>
              <w:rPr>
                <w:rFonts w:ascii="Arial" w:cs="Arial" w:eastAsia="Arial" w:hAnsi="Arial"/>
                <w:sz w:val="12"/>
                <w:szCs w:val="12"/>
                <w:b w:val="1"/>
                <w:bCs w:val="1"/>
                <w:color w:val="auto"/>
              </w:rPr>
              <w:t>Cable</w:t>
            </w:r>
          </w:p>
        </w:tc>
        <w:tc>
          <w:tcPr>
            <w:tcW w:w="1120" w:type="dxa"/>
            <w:vAlign w:val="bottom"/>
            <w:gridSpan w:val="2"/>
          </w:tcPr>
          <w:p>
            <w:pPr>
              <w:jc w:val="center"/>
              <w:ind w:left="108"/>
              <w:spacing w:after="0"/>
              <w:rPr>
                <w:sz w:val="20"/>
                <w:szCs w:val="20"/>
                <w:color w:val="auto"/>
              </w:rPr>
            </w:pPr>
            <w:r>
              <w:rPr>
                <w:rFonts w:ascii="Arial" w:cs="Arial" w:eastAsia="Arial" w:hAnsi="Arial"/>
                <w:sz w:val="12"/>
                <w:szCs w:val="12"/>
                <w:b w:val="1"/>
                <w:bCs w:val="1"/>
                <w:color w:val="auto"/>
              </w:rPr>
              <w:t>Newspaper</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Television</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right"/>
              <w:ind w:right="327"/>
              <w:spacing w:after="0"/>
              <w:rPr>
                <w:sz w:val="20"/>
                <w:szCs w:val="20"/>
                <w:color w:val="auto"/>
              </w:rPr>
            </w:pPr>
            <w:r>
              <w:rPr>
                <w:rFonts w:ascii="Arial" w:cs="Arial" w:eastAsia="Arial" w:hAnsi="Arial"/>
                <w:sz w:val="12"/>
                <w:szCs w:val="12"/>
                <w:b w:val="1"/>
                <w:bCs w:val="1"/>
                <w:color w:val="auto"/>
              </w:rPr>
              <w:t>Other</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Education</w:t>
            </w:r>
          </w:p>
        </w:tc>
        <w:tc>
          <w:tcPr>
            <w:tcW w:w="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2"/>
                <w:szCs w:val="12"/>
                <w:b w:val="1"/>
                <w:bCs w:val="1"/>
                <w:color w:val="auto"/>
                <w:w w:val="98"/>
              </w:rPr>
              <w:t>Television</w:t>
            </w:r>
          </w:p>
        </w:tc>
        <w:tc>
          <w:tcPr>
            <w:tcW w:w="112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2"/>
                <w:szCs w:val="12"/>
                <w:b w:val="1"/>
                <w:bCs w:val="1"/>
                <w:color w:val="auto"/>
              </w:rPr>
              <w:t>Publishing</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2"/>
                <w:szCs w:val="12"/>
                <w:b w:val="1"/>
                <w:bCs w:val="1"/>
                <w:color w:val="auto"/>
              </w:rPr>
              <w:t>Broadcasting</w:t>
            </w:r>
          </w:p>
        </w:tc>
        <w:tc>
          <w:tcPr>
            <w:tcW w:w="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147"/>
              <w:spacing w:after="0"/>
              <w:rPr>
                <w:sz w:val="20"/>
                <w:szCs w:val="20"/>
                <w:color w:val="auto"/>
              </w:rPr>
            </w:pPr>
            <w:r>
              <w:rPr>
                <w:rFonts w:ascii="Arial" w:cs="Arial" w:eastAsia="Arial" w:hAnsi="Arial"/>
                <w:sz w:val="12"/>
                <w:szCs w:val="12"/>
                <w:b w:val="1"/>
                <w:bCs w:val="1"/>
                <w:color w:val="auto"/>
              </w:rPr>
              <w:t>Businesses</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December 31, 2011</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Goodwill</w:t>
            </w:r>
          </w:p>
        </w:tc>
        <w:tc>
          <w:tcPr>
            <w:tcW w:w="1200" w:type="dxa"/>
            <w:vAlign w:val="bottom"/>
          </w:tcPr>
          <w:p>
            <w:pPr>
              <w:spacing w:after="0"/>
              <w:rPr>
                <w:sz w:val="15"/>
                <w:szCs w:val="15"/>
                <w:color w:val="auto"/>
              </w:rPr>
            </w:pPr>
          </w:p>
        </w:tc>
        <w:tc>
          <w:tcPr>
            <w:tcW w:w="420" w:type="dxa"/>
            <w:vAlign w:val="bottom"/>
            <w:gridSpan w:val="4"/>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1,116,615</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tcPr>
          <w:p>
            <w:pPr>
              <w:jc w:val="right"/>
              <w:spacing w:after="0"/>
              <w:rPr>
                <w:sz w:val="20"/>
                <w:szCs w:val="20"/>
                <w:color w:val="auto"/>
              </w:rPr>
            </w:pPr>
            <w:r>
              <w:rPr>
                <w:rFonts w:ascii="Arial" w:cs="Arial" w:eastAsia="Arial" w:hAnsi="Arial"/>
                <w:sz w:val="15"/>
                <w:szCs w:val="15"/>
                <w:color w:val="auto"/>
              </w:rPr>
              <w:t>85,488</w:t>
            </w:r>
          </w:p>
        </w:tc>
        <w:tc>
          <w:tcPr>
            <w:tcW w:w="540" w:type="dxa"/>
            <w:vAlign w:val="bottom"/>
          </w:tcPr>
          <w:p>
            <w:pPr>
              <w:jc w:val="right"/>
              <w:ind w:right="208"/>
              <w:spacing w:after="0"/>
              <w:rPr>
                <w:sz w:val="20"/>
                <w:szCs w:val="20"/>
                <w:color w:val="auto"/>
              </w:rPr>
            </w:pPr>
            <w:r>
              <w:rPr>
                <w:rFonts w:ascii="Arial" w:cs="Arial" w:eastAsia="Arial" w:hAnsi="Arial"/>
                <w:sz w:val="15"/>
                <w:szCs w:val="15"/>
                <w:color w:val="auto"/>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81,183</w:t>
            </w:r>
          </w:p>
        </w:tc>
        <w:tc>
          <w:tcPr>
            <w:tcW w:w="260" w:type="dxa"/>
            <w:vAlign w:val="bottom"/>
            <w:gridSpan w:val="2"/>
          </w:tcPr>
          <w:p>
            <w:pPr>
              <w:jc w:val="center"/>
              <w:ind w:left="107"/>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67"/>
              <w:spacing w:after="0"/>
              <w:rPr>
                <w:sz w:val="20"/>
                <w:szCs w:val="20"/>
                <w:color w:val="auto"/>
              </w:rPr>
            </w:pPr>
            <w:r>
              <w:rPr>
                <w:rFonts w:ascii="Arial" w:cs="Arial" w:eastAsia="Arial" w:hAnsi="Arial"/>
                <w:sz w:val="15"/>
                <w:szCs w:val="15"/>
                <w:color w:val="auto"/>
              </w:rPr>
              <w:t>203,165</w:t>
            </w:r>
          </w:p>
        </w:tc>
        <w:tc>
          <w:tcPr>
            <w:tcW w:w="280" w:type="dxa"/>
            <w:vAlign w:val="bottom"/>
            <w:gridSpan w:val="2"/>
          </w:tcPr>
          <w:p>
            <w:pPr>
              <w:ind w:left="40"/>
              <w:spacing w:after="0"/>
              <w:rPr>
                <w:sz w:val="20"/>
                <w:szCs w:val="20"/>
                <w:color w:val="auto"/>
              </w:rPr>
            </w:pPr>
            <w:r>
              <w:rPr>
                <w:rFonts w:ascii="Arial" w:cs="Arial" w:eastAsia="Arial" w:hAnsi="Arial"/>
                <w:sz w:val="15"/>
                <w:szCs w:val="15"/>
                <w:color w:val="auto"/>
              </w:rPr>
              <w:t>$</w:t>
            </w:r>
          </w:p>
        </w:tc>
        <w:tc>
          <w:tcPr>
            <w:tcW w:w="820" w:type="dxa"/>
            <w:vAlign w:val="bottom"/>
          </w:tcPr>
          <w:p>
            <w:pPr>
              <w:jc w:val="right"/>
              <w:ind w:right="27"/>
              <w:spacing w:after="0"/>
              <w:rPr>
                <w:sz w:val="20"/>
                <w:szCs w:val="20"/>
                <w:color w:val="auto"/>
              </w:rPr>
            </w:pPr>
            <w:r>
              <w:rPr>
                <w:rFonts w:ascii="Arial" w:cs="Arial" w:eastAsia="Arial" w:hAnsi="Arial"/>
                <w:sz w:val="15"/>
                <w:szCs w:val="15"/>
                <w:color w:val="auto"/>
              </w:rPr>
              <w:t>100,152</w:t>
            </w:r>
          </w:p>
        </w:tc>
        <w:tc>
          <w:tcPr>
            <w:tcW w:w="28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1,586,603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40"/>
              <w:spacing w:after="0"/>
              <w:rPr>
                <w:sz w:val="20"/>
                <w:szCs w:val="20"/>
                <w:color w:val="auto"/>
              </w:rPr>
            </w:pPr>
            <w:r>
              <w:rPr>
                <w:rFonts w:ascii="Arial" w:cs="Arial" w:eastAsia="Arial" w:hAnsi="Arial"/>
                <w:sz w:val="15"/>
                <w:szCs w:val="15"/>
                <w:color w:val="auto"/>
              </w:rPr>
              <w:t>Accumulated impairment losses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(8,492)</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(65,772)</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93"/>
              </w:rPr>
              <w:t>―</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(97,342)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(171,606)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spacing w:after="0" w:line="150" w:lineRule="exact"/>
              <w:rPr>
                <w:sz w:val="20"/>
                <w:szCs w:val="20"/>
                <w:color w:val="auto"/>
              </w:rPr>
            </w:pPr>
            <w:r>
              <w:rPr>
                <w:rFonts w:ascii="Arial" w:cs="Arial" w:eastAsia="Arial" w:hAnsi="Arial"/>
                <w:sz w:val="15"/>
                <w:szCs w:val="15"/>
                <w:color w:val="auto"/>
              </w:rPr>
              <w:t>1,108,123</w:t>
            </w:r>
          </w:p>
        </w:tc>
        <w:tc>
          <w:tcPr>
            <w:tcW w:w="280" w:type="dxa"/>
            <w:vAlign w:val="bottom"/>
          </w:tcPr>
          <w:p>
            <w:pPr>
              <w:spacing w:after="0"/>
              <w:rPr>
                <w:sz w:val="13"/>
                <w:szCs w:val="13"/>
                <w:color w:val="auto"/>
              </w:rPr>
            </w:pPr>
          </w:p>
        </w:tc>
        <w:tc>
          <w:tcPr>
            <w:tcW w:w="760" w:type="dxa"/>
            <w:vAlign w:val="bottom"/>
          </w:tcPr>
          <w:p>
            <w:pPr>
              <w:jc w:val="right"/>
              <w:spacing w:after="0" w:line="150" w:lineRule="exact"/>
              <w:rPr>
                <w:sz w:val="20"/>
                <w:szCs w:val="20"/>
                <w:color w:val="auto"/>
              </w:rPr>
            </w:pPr>
            <w:r>
              <w:rPr>
                <w:rFonts w:ascii="Arial" w:cs="Arial" w:eastAsia="Arial" w:hAnsi="Arial"/>
                <w:sz w:val="15"/>
                <w:szCs w:val="15"/>
                <w:color w:val="auto"/>
              </w:rPr>
              <w:t>85,488</w:t>
            </w:r>
          </w:p>
        </w:tc>
        <w:tc>
          <w:tcPr>
            <w:tcW w:w="540" w:type="dxa"/>
            <w:vAlign w:val="bottom"/>
          </w:tcPr>
          <w:p>
            <w:pPr>
              <w:spacing w:after="0"/>
              <w:rPr>
                <w:sz w:val="13"/>
                <w:szCs w:val="13"/>
                <w:color w:val="auto"/>
              </w:rPr>
            </w:pPr>
          </w:p>
        </w:tc>
        <w:tc>
          <w:tcPr>
            <w:tcW w:w="580" w:type="dxa"/>
            <w:vAlign w:val="bottom"/>
          </w:tcPr>
          <w:p>
            <w:pPr>
              <w:jc w:val="right"/>
              <w:spacing w:after="0" w:line="150" w:lineRule="exact"/>
              <w:rPr>
                <w:sz w:val="20"/>
                <w:szCs w:val="20"/>
                <w:color w:val="auto"/>
              </w:rPr>
            </w:pPr>
            <w:r>
              <w:rPr>
                <w:rFonts w:ascii="Arial" w:cs="Arial" w:eastAsia="Arial" w:hAnsi="Arial"/>
                <w:sz w:val="15"/>
                <w:szCs w:val="15"/>
                <w:color w:val="auto"/>
              </w:rPr>
              <w:t>15,411</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67"/>
              <w:spacing w:after="0" w:line="150" w:lineRule="exact"/>
              <w:rPr>
                <w:sz w:val="20"/>
                <w:szCs w:val="20"/>
                <w:color w:val="auto"/>
              </w:rPr>
            </w:pPr>
            <w:r>
              <w:rPr>
                <w:rFonts w:ascii="Arial" w:cs="Arial" w:eastAsia="Arial" w:hAnsi="Arial"/>
                <w:sz w:val="15"/>
                <w:szCs w:val="15"/>
                <w:color w:val="auto"/>
              </w:rPr>
              <w:t>203,165</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27"/>
              <w:spacing w:after="0" w:line="150" w:lineRule="exact"/>
              <w:rPr>
                <w:sz w:val="20"/>
                <w:szCs w:val="20"/>
                <w:color w:val="auto"/>
              </w:rPr>
            </w:pPr>
            <w:r>
              <w:rPr>
                <w:rFonts w:ascii="Arial" w:cs="Arial" w:eastAsia="Arial" w:hAnsi="Arial"/>
                <w:sz w:val="15"/>
                <w:szCs w:val="15"/>
                <w:color w:val="auto"/>
              </w:rPr>
              <w:t>2,810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40"/>
              <w:spacing w:after="0" w:line="150" w:lineRule="exact"/>
              <w:rPr>
                <w:sz w:val="20"/>
                <w:szCs w:val="20"/>
                <w:color w:val="auto"/>
              </w:rPr>
            </w:pPr>
            <w:r>
              <w:rPr>
                <w:rFonts w:ascii="Arial" w:cs="Arial" w:eastAsia="Arial" w:hAnsi="Arial"/>
                <w:sz w:val="15"/>
                <w:szCs w:val="15"/>
                <w:color w:val="auto"/>
              </w:rPr>
              <w:t>1,414,997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Arial" w:cs="Arial" w:eastAsia="Arial" w:hAnsi="Arial"/>
                <w:sz w:val="15"/>
                <w:szCs w:val="15"/>
                <w:color w:val="auto"/>
              </w:rPr>
              <w:t>Acquisitions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7,364</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ind w:right="67"/>
              <w:spacing w:after="0"/>
              <w:rPr>
                <w:sz w:val="20"/>
                <w:szCs w:val="20"/>
                <w:color w:val="auto"/>
              </w:rPr>
            </w:pPr>
            <w:r>
              <w:rPr>
                <w:rFonts w:ascii="Arial" w:cs="Arial" w:eastAsia="Arial" w:hAnsi="Arial"/>
                <w:sz w:val="15"/>
                <w:szCs w:val="15"/>
                <w:b w:val="1"/>
                <w:bCs w:val="1"/>
                <w:color w:val="auto"/>
                <w:w w:val="93"/>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b w:val="1"/>
                <w:bCs w:val="1"/>
                <w:color w:val="auto"/>
              </w:rPr>
              <w:t>4,098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11,462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Arial" w:cs="Arial" w:eastAsia="Arial" w:hAnsi="Arial"/>
                <w:sz w:val="15"/>
                <w:szCs w:val="15"/>
                <w:color w:val="auto"/>
              </w:rPr>
              <w:t>Dispositions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b w:val="1"/>
                <w:bCs w:val="1"/>
                <w:color w:val="auto"/>
              </w:rPr>
              <w:t>(29,000)</w:t>
            </w: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jc w:val="right"/>
              <w:ind w:right="67"/>
              <w:spacing w:after="0"/>
              <w:rPr>
                <w:sz w:val="20"/>
                <w:szCs w:val="20"/>
                <w:color w:val="auto"/>
              </w:rPr>
            </w:pPr>
            <w:r>
              <w:rPr>
                <w:rFonts w:ascii="Arial" w:cs="Arial" w:eastAsia="Arial" w:hAnsi="Arial"/>
                <w:sz w:val="15"/>
                <w:szCs w:val="15"/>
                <w:b w:val="1"/>
                <w:bCs w:val="1"/>
                <w:color w:val="auto"/>
                <w:w w:val="93"/>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b w:val="1"/>
                <w:bCs w:val="1"/>
                <w:color w:val="auto"/>
              </w:rPr>
              <w:t>(29,000)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40" w:type="dxa"/>
            <w:vAlign w:val="bottom"/>
            <w:gridSpan w:val="2"/>
          </w:tcPr>
          <w:p>
            <w:pPr>
              <w:spacing w:after="0"/>
              <w:rPr>
                <w:sz w:val="20"/>
                <w:szCs w:val="20"/>
                <w:color w:val="auto"/>
              </w:rPr>
            </w:pPr>
            <w:r>
              <w:rPr>
                <w:rFonts w:ascii="Arial" w:cs="Arial" w:eastAsia="Arial" w:hAnsi="Arial"/>
                <w:sz w:val="15"/>
                <w:szCs w:val="15"/>
                <w:color w:val="auto"/>
              </w:rPr>
              <w:t>Foreign currency exchange rate changes and other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9,471</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3"/>
              </w:rPr>
              <w:t>―</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9,471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September 30, 2012</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1,095,958</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85,488</w:t>
            </w:r>
          </w:p>
        </w:tc>
        <w:tc>
          <w:tcPr>
            <w:tcW w:w="5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81,183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jc w:val="right"/>
              <w:ind w:right="67"/>
              <w:spacing w:after="0"/>
              <w:rPr>
                <w:sz w:val="20"/>
                <w:szCs w:val="20"/>
                <w:color w:val="auto"/>
              </w:rPr>
            </w:pPr>
            <w:r>
              <w:rPr>
                <w:rFonts w:ascii="Arial" w:cs="Arial" w:eastAsia="Arial" w:hAnsi="Arial"/>
                <w:sz w:val="15"/>
                <w:szCs w:val="15"/>
                <w:b w:val="1"/>
                <w:bCs w:val="1"/>
                <w:color w:val="auto"/>
              </w:rPr>
              <w:t>203,165</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27"/>
              <w:spacing w:after="0"/>
              <w:rPr>
                <w:sz w:val="20"/>
                <w:szCs w:val="20"/>
                <w:color w:val="auto"/>
              </w:rPr>
            </w:pPr>
            <w:r>
              <w:rPr>
                <w:rFonts w:ascii="Arial" w:cs="Arial" w:eastAsia="Arial" w:hAnsi="Arial"/>
                <w:sz w:val="15"/>
                <w:szCs w:val="15"/>
                <w:b w:val="1"/>
                <w:bCs w:val="1"/>
                <w:color w:val="auto"/>
              </w:rPr>
              <w:t>6,908</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40"/>
              <w:spacing w:after="0"/>
              <w:rPr>
                <w:sz w:val="20"/>
                <w:szCs w:val="20"/>
                <w:color w:val="auto"/>
              </w:rPr>
            </w:pPr>
            <w:r>
              <w:rPr>
                <w:rFonts w:ascii="Arial" w:cs="Arial" w:eastAsia="Arial" w:hAnsi="Arial"/>
                <w:sz w:val="15"/>
                <w:szCs w:val="15"/>
                <w:b w:val="1"/>
                <w:bCs w:val="1"/>
                <w:color w:val="auto"/>
              </w:rPr>
              <w:t>1,472,702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40"/>
              <w:spacing w:after="0" w:line="156" w:lineRule="exact"/>
              <w:rPr>
                <w:sz w:val="20"/>
                <w:szCs w:val="20"/>
                <w:color w:val="auto"/>
              </w:rPr>
            </w:pPr>
            <w:r>
              <w:rPr>
                <w:rFonts w:ascii="Arial" w:cs="Arial" w:eastAsia="Arial" w:hAnsi="Arial"/>
                <w:sz w:val="15"/>
                <w:szCs w:val="15"/>
                <w:color w:val="auto"/>
              </w:rPr>
              <w:t>Goodwill</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5"/>
                <w:szCs w:val="15"/>
                <w:color w:val="auto"/>
              </w:rPr>
              <w:t>Accumulated impairment losses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(65,772)</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93"/>
              </w:rPr>
              <w:t>―</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b w:val="1"/>
                <w:bCs w:val="1"/>
                <w:color w:val="auto"/>
              </w:rPr>
              <w:t>(65,772)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5"/>
                <w:szCs w:val="15"/>
                <w:b w:val="1"/>
                <w:bCs w:val="1"/>
                <w:color w:val="auto"/>
              </w:rPr>
              <w:t>1,095,958</w:t>
            </w:r>
          </w:p>
        </w:tc>
        <w:tc>
          <w:tcPr>
            <w:tcW w:w="280" w:type="dxa"/>
            <w:vAlign w:val="bottom"/>
            <w:tcBorders>
              <w:bottom w:val="single" w:sz="8" w:color="auto"/>
            </w:tcBorders>
          </w:tcPr>
          <w:p>
            <w:pPr>
              <w:jc w:val="right"/>
              <w:ind w:right="7"/>
              <w:spacing w:after="0" w:line="167" w:lineRule="exact"/>
              <w:rPr>
                <w:sz w:val="20"/>
                <w:szCs w:val="20"/>
                <w:color w:val="auto"/>
              </w:rPr>
            </w:pPr>
            <w:r>
              <w:rPr>
                <w:rFonts w:ascii="Arial" w:cs="Arial" w:eastAsia="Arial" w:hAnsi="Arial"/>
                <w:sz w:val="15"/>
                <w:szCs w:val="15"/>
                <w:b w:val="1"/>
                <w:bCs w:val="1"/>
                <w:color w:val="auto"/>
              </w:rPr>
              <w:t>$</w:t>
            </w: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85,488</w:t>
            </w:r>
          </w:p>
        </w:tc>
        <w:tc>
          <w:tcPr>
            <w:tcW w:w="540" w:type="dxa"/>
            <w:vAlign w:val="bottom"/>
            <w:tcBorders>
              <w:bottom w:val="single" w:sz="8" w:color="auto"/>
            </w:tcBorders>
          </w:tcPr>
          <w:p>
            <w:pPr>
              <w:jc w:val="right"/>
              <w:ind w:right="248"/>
              <w:spacing w:after="0" w:line="167"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15,411</w:t>
            </w:r>
          </w:p>
        </w:tc>
        <w:tc>
          <w:tcPr>
            <w:tcW w:w="260" w:type="dxa"/>
            <w:vAlign w:val="bottom"/>
            <w:tcBorders>
              <w:bottom w:val="single" w:sz="8" w:color="auto"/>
            </w:tcBorders>
            <w:gridSpan w:val="2"/>
          </w:tcPr>
          <w:p>
            <w:pPr>
              <w:jc w:val="center"/>
              <w:ind w:left="47"/>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gridSpan w:val="2"/>
          </w:tcPr>
          <w:p>
            <w:pPr>
              <w:jc w:val="right"/>
              <w:ind w:right="67"/>
              <w:spacing w:after="0" w:line="167" w:lineRule="exact"/>
              <w:rPr>
                <w:sz w:val="20"/>
                <w:szCs w:val="20"/>
                <w:color w:val="auto"/>
              </w:rPr>
            </w:pPr>
            <w:r>
              <w:rPr>
                <w:rFonts w:ascii="Arial" w:cs="Arial" w:eastAsia="Arial" w:hAnsi="Arial"/>
                <w:sz w:val="15"/>
                <w:szCs w:val="15"/>
                <w:b w:val="1"/>
                <w:bCs w:val="1"/>
                <w:color w:val="auto"/>
              </w:rPr>
              <w:t>203,165</w:t>
            </w:r>
          </w:p>
        </w:tc>
        <w:tc>
          <w:tcPr>
            <w:tcW w:w="280" w:type="dxa"/>
            <w:vAlign w:val="bottom"/>
            <w:tcBorders>
              <w:bottom w:val="single" w:sz="8" w:color="auto"/>
            </w:tcBorders>
            <w:gridSpan w:val="2"/>
          </w:tcPr>
          <w:p>
            <w:pPr>
              <w:jc w:val="right"/>
              <w:ind w:right="118"/>
              <w:spacing w:after="0" w:line="167" w:lineRule="exact"/>
              <w:rPr>
                <w:sz w:val="20"/>
                <w:szCs w:val="20"/>
                <w:color w:val="auto"/>
              </w:rPr>
            </w:pPr>
            <w:r>
              <w:rPr>
                <w:rFonts w:ascii="Arial" w:cs="Arial" w:eastAsia="Arial" w:hAnsi="Arial"/>
                <w:sz w:val="15"/>
                <w:szCs w:val="15"/>
                <w:b w:val="1"/>
                <w:bCs w:val="1"/>
                <w:color w:val="auto"/>
                <w:w w:val="95"/>
              </w:rPr>
              <w:t>$</w:t>
            </w:r>
          </w:p>
        </w:tc>
        <w:tc>
          <w:tcPr>
            <w:tcW w:w="82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b w:val="1"/>
                <w:bCs w:val="1"/>
                <w:color w:val="auto"/>
              </w:rPr>
              <w:t>6,908</w:t>
            </w:r>
          </w:p>
        </w:tc>
        <w:tc>
          <w:tcPr>
            <w:tcW w:w="2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b w:val="1"/>
                <w:bCs w:val="1"/>
                <w:color w:val="auto"/>
              </w:rPr>
              <w:t>1,406,930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2620" w:type="dxa"/>
            <w:vAlign w:val="bottom"/>
            <w:tcBorders>
              <w:bottom w:val="single" w:sz="8" w:color="auto"/>
            </w:tcBorders>
            <w:gridSpan w:val="6"/>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200" w:type="dxa"/>
            <w:vAlign w:val="bottom"/>
            <w:gridSpan w:val="13"/>
          </w:tcPr>
          <w:p>
            <w:pPr>
              <w:spacing w:after="0"/>
              <w:rPr>
                <w:sz w:val="20"/>
                <w:szCs w:val="20"/>
                <w:color w:val="auto"/>
              </w:rPr>
            </w:pPr>
            <w:r>
              <w:rPr>
                <w:rFonts w:ascii="Arial" w:cs="Arial" w:eastAsia="Arial" w:hAnsi="Arial"/>
                <w:sz w:val="17"/>
                <w:szCs w:val="17"/>
                <w:color w:val="auto"/>
                <w:w w:val="98"/>
              </w:rPr>
              <w:t>The changes in carrying amount of goodwill at the Company’s education division were as follows: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2"/>
                <w:szCs w:val="12"/>
                <w:b w:val="1"/>
                <w:bCs w:val="1"/>
                <w:color w:val="auto"/>
              </w:rPr>
              <w:t>Higher</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408"/>
              <w:spacing w:after="0"/>
              <w:rPr>
                <w:sz w:val="20"/>
                <w:szCs w:val="20"/>
                <w:color w:val="auto"/>
              </w:rPr>
            </w:pPr>
            <w:r>
              <w:rPr>
                <w:rFonts w:ascii="Arial" w:cs="Arial" w:eastAsia="Arial" w:hAnsi="Arial"/>
                <w:sz w:val="12"/>
                <w:szCs w:val="12"/>
                <w:b w:val="1"/>
                <w:bCs w:val="1"/>
                <w:color w:val="auto"/>
              </w:rPr>
              <w:t>Test</w:t>
            </w:r>
          </w:p>
        </w:tc>
        <w:tc>
          <w:tcPr>
            <w:tcW w:w="580" w:type="dxa"/>
            <w:vAlign w:val="bottom"/>
          </w:tcPr>
          <w:p>
            <w:pPr>
              <w:spacing w:after="0"/>
              <w:rPr>
                <w:sz w:val="24"/>
                <w:szCs w:val="24"/>
                <w:color w:val="auto"/>
              </w:rPr>
            </w:pPr>
          </w:p>
        </w:tc>
        <w:tc>
          <w:tcPr>
            <w:tcW w:w="960" w:type="dxa"/>
            <w:vAlign w:val="bottom"/>
            <w:gridSpan w:val="3"/>
          </w:tcPr>
          <w:p>
            <w:pPr>
              <w:jc w:val="center"/>
              <w:ind w:right="468"/>
              <w:spacing w:after="0"/>
              <w:rPr>
                <w:sz w:val="20"/>
                <w:szCs w:val="20"/>
                <w:color w:val="auto"/>
              </w:rPr>
            </w:pPr>
            <w:r>
              <w:rPr>
                <w:rFonts w:ascii="Arial" w:cs="Arial" w:eastAsia="Arial" w:hAnsi="Arial"/>
                <w:sz w:val="12"/>
                <w:szCs w:val="12"/>
                <w:b w:val="1"/>
                <w:bCs w:val="1"/>
                <w:color w:val="auto"/>
              </w:rPr>
              <w:t>Kaplan</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gridSpan w:val="2"/>
          </w:tcPr>
          <w:p>
            <w:pPr>
              <w:jc w:val="right"/>
              <w:ind w:right="507"/>
              <w:spacing w:after="0"/>
              <w:rPr>
                <w:sz w:val="20"/>
                <w:szCs w:val="20"/>
                <w:color w:val="auto"/>
              </w:rPr>
            </w:pPr>
            <w:r>
              <w:rPr>
                <w:rFonts w:ascii="Arial" w:cs="Arial" w:eastAsia="Arial" w:hAnsi="Arial"/>
                <w:sz w:val="12"/>
                <w:szCs w:val="12"/>
                <w:b w:val="1"/>
                <w:bCs w:val="1"/>
                <w:color w:val="auto"/>
              </w:rPr>
              <w:t>Kaplan</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940" w:type="dxa"/>
            <w:vAlign w:val="bottom"/>
          </w:tcPr>
          <w:p>
            <w:pPr>
              <w:spacing w:after="0"/>
              <w:rPr>
                <w:sz w:val="20"/>
                <w:szCs w:val="20"/>
                <w:color w:val="auto"/>
              </w:rPr>
            </w:pPr>
            <w:r>
              <w:rPr>
                <w:rFonts w:ascii="Arial" w:cs="Arial" w:eastAsia="Arial" w:hAnsi="Arial"/>
                <w:sz w:val="12"/>
                <w:szCs w:val="12"/>
                <w:color w:val="auto"/>
              </w:rPr>
              <w:t>(in thousands)</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26"/>
              <w:spacing w:after="0"/>
              <w:rPr>
                <w:sz w:val="20"/>
                <w:szCs w:val="20"/>
                <w:color w:val="auto"/>
              </w:rPr>
            </w:pPr>
            <w:r>
              <w:rPr>
                <w:rFonts w:ascii="Arial" w:cs="Arial" w:eastAsia="Arial" w:hAnsi="Arial"/>
                <w:sz w:val="12"/>
                <w:szCs w:val="12"/>
                <w:b w:val="1"/>
                <w:bCs w:val="1"/>
                <w:color w:val="auto"/>
              </w:rPr>
              <w:t>Education</w:t>
            </w:r>
          </w:p>
        </w:tc>
        <w:tc>
          <w:tcPr>
            <w:tcW w:w="280" w:type="dxa"/>
            <w:vAlign w:val="bottom"/>
          </w:tcPr>
          <w:p>
            <w:pPr>
              <w:spacing w:after="0"/>
              <w:rPr>
                <w:sz w:val="13"/>
                <w:szCs w:val="13"/>
                <w:color w:val="auto"/>
              </w:rPr>
            </w:pPr>
          </w:p>
        </w:tc>
        <w:tc>
          <w:tcPr>
            <w:tcW w:w="1300" w:type="dxa"/>
            <w:vAlign w:val="bottom"/>
            <w:gridSpan w:val="2"/>
          </w:tcPr>
          <w:p>
            <w:pPr>
              <w:jc w:val="right"/>
              <w:ind w:right="188"/>
              <w:spacing w:after="0"/>
              <w:rPr>
                <w:sz w:val="20"/>
                <w:szCs w:val="20"/>
                <w:color w:val="auto"/>
              </w:rPr>
            </w:pPr>
            <w:r>
              <w:rPr>
                <w:rFonts w:ascii="Arial" w:cs="Arial" w:eastAsia="Arial" w:hAnsi="Arial"/>
                <w:sz w:val="12"/>
                <w:szCs w:val="12"/>
                <w:b w:val="1"/>
                <w:bCs w:val="1"/>
                <w:color w:val="auto"/>
              </w:rPr>
              <w:t>Preparation</w:t>
            </w:r>
          </w:p>
        </w:tc>
        <w:tc>
          <w:tcPr>
            <w:tcW w:w="1540" w:type="dxa"/>
            <w:vAlign w:val="bottom"/>
            <w:gridSpan w:val="4"/>
          </w:tcPr>
          <w:p>
            <w:pPr>
              <w:jc w:val="center"/>
              <w:spacing w:after="0"/>
              <w:rPr>
                <w:sz w:val="20"/>
                <w:szCs w:val="20"/>
                <w:color w:val="auto"/>
              </w:rPr>
            </w:pPr>
            <w:r>
              <w:rPr>
                <w:rFonts w:ascii="Arial" w:cs="Arial" w:eastAsia="Arial" w:hAnsi="Arial"/>
                <w:sz w:val="12"/>
                <w:szCs w:val="12"/>
                <w:b w:val="1"/>
                <w:bCs w:val="1"/>
                <w:color w:val="auto"/>
              </w:rPr>
              <w:t>International</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Ventures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Total</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40" w:type="dxa"/>
            <w:vAlign w:val="bottom"/>
            <w:tcBorders>
              <w:top w:val="single" w:sz="8" w:color="auto"/>
            </w:tcBorders>
          </w:tcPr>
          <w:p>
            <w:pPr>
              <w:spacing w:after="0" w:line="168" w:lineRule="exact"/>
              <w:rPr>
                <w:sz w:val="20"/>
                <w:szCs w:val="20"/>
                <w:color w:val="auto"/>
              </w:rPr>
            </w:pPr>
            <w:r>
              <w:rPr>
                <w:rFonts w:ascii="Arial" w:cs="Arial" w:eastAsia="Arial" w:hAnsi="Arial"/>
                <w:sz w:val="15"/>
                <w:szCs w:val="15"/>
                <w:b w:val="1"/>
                <w:bCs w:val="1"/>
                <w:color w:val="auto"/>
              </w:rPr>
              <w:t>Balance as of December 31, 2011</w:t>
            </w:r>
          </w:p>
        </w:tc>
        <w:tc>
          <w:tcPr>
            <w:tcW w:w="1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Goodwill</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gridSpan w:val="2"/>
          </w:tcPr>
          <w:p>
            <w:pPr>
              <w:ind w:left="20"/>
              <w:spacing w:after="0"/>
              <w:rPr>
                <w:sz w:val="20"/>
                <w:szCs w:val="20"/>
                <w:color w:val="auto"/>
              </w:rPr>
            </w:pPr>
            <w:r>
              <w:rPr>
                <w:rFonts w:ascii="Arial" w:cs="Arial" w:eastAsia="Arial" w:hAnsi="Arial"/>
                <w:sz w:val="15"/>
                <w:szCs w:val="15"/>
                <w:color w:val="auto"/>
              </w:rPr>
              <w:t>$</w:t>
            </w:r>
          </w:p>
        </w:tc>
        <w:tc>
          <w:tcPr>
            <w:tcW w:w="1200" w:type="dxa"/>
            <w:vAlign w:val="bottom"/>
            <w:gridSpan w:val="3"/>
          </w:tcPr>
          <w:p>
            <w:pPr>
              <w:jc w:val="right"/>
              <w:ind w:right="27"/>
              <w:spacing w:after="0"/>
              <w:rPr>
                <w:sz w:val="20"/>
                <w:szCs w:val="20"/>
                <w:color w:val="auto"/>
              </w:rPr>
            </w:pPr>
            <w:r>
              <w:rPr>
                <w:rFonts w:ascii="Arial" w:cs="Arial" w:eastAsia="Arial" w:hAnsi="Arial"/>
                <w:sz w:val="15"/>
                <w:szCs w:val="15"/>
                <w:color w:val="auto"/>
              </w:rPr>
              <w:t>409,128</w:t>
            </w:r>
          </w:p>
        </w:tc>
        <w:tc>
          <w:tcPr>
            <w:tcW w:w="760" w:type="dxa"/>
            <w:vAlign w:val="bottom"/>
          </w:tcPr>
          <w:p>
            <w:pPr>
              <w:jc w:val="right"/>
              <w:ind w:right="388"/>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w w:val="95"/>
              </w:rPr>
              <w:t>152,187</w:t>
            </w:r>
          </w:p>
        </w:tc>
        <w:tc>
          <w:tcPr>
            <w:tcW w:w="580" w:type="dxa"/>
            <w:vAlign w:val="bottom"/>
          </w:tcPr>
          <w:p>
            <w:pPr>
              <w:jc w:val="right"/>
              <w:ind w:right="107"/>
              <w:spacing w:after="0"/>
              <w:rPr>
                <w:sz w:val="20"/>
                <w:szCs w:val="20"/>
                <w:color w:val="auto"/>
              </w:rPr>
            </w:pPr>
            <w:r>
              <w:rPr>
                <w:rFonts w:ascii="Arial" w:cs="Arial" w:eastAsia="Arial" w:hAnsi="Arial"/>
                <w:sz w:val="15"/>
                <w:szCs w:val="15"/>
                <w:color w:val="auto"/>
              </w:rPr>
              <w:t>$</w:t>
            </w:r>
          </w:p>
        </w:tc>
        <w:tc>
          <w:tcPr>
            <w:tcW w:w="960" w:type="dxa"/>
            <w:vAlign w:val="bottom"/>
            <w:gridSpan w:val="3"/>
          </w:tcPr>
          <w:p>
            <w:pPr>
              <w:jc w:val="right"/>
              <w:ind w:right="88"/>
              <w:spacing w:after="0"/>
              <w:rPr>
                <w:sz w:val="20"/>
                <w:szCs w:val="20"/>
                <w:color w:val="auto"/>
              </w:rPr>
            </w:pPr>
            <w:r>
              <w:rPr>
                <w:rFonts w:ascii="Arial" w:cs="Arial" w:eastAsia="Arial" w:hAnsi="Arial"/>
                <w:sz w:val="15"/>
                <w:szCs w:val="15"/>
                <w:color w:val="auto"/>
              </w:rPr>
              <w:t>515,936</w:t>
            </w:r>
          </w:p>
        </w:tc>
        <w:tc>
          <w:tcPr>
            <w:tcW w:w="3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147"/>
              <w:spacing w:after="0"/>
              <w:rPr>
                <w:sz w:val="20"/>
                <w:szCs w:val="20"/>
                <w:color w:val="auto"/>
              </w:rPr>
            </w:pPr>
            <w:r>
              <w:rPr>
                <w:rFonts w:ascii="Arial" w:cs="Arial" w:eastAsia="Arial" w:hAnsi="Arial"/>
                <w:sz w:val="15"/>
                <w:szCs w:val="15"/>
                <w:color w:val="auto"/>
              </w:rPr>
              <w:t>39,364</w:t>
            </w:r>
          </w:p>
        </w:tc>
        <w:tc>
          <w:tcPr>
            <w:tcW w:w="28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1,116,615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940" w:type="dxa"/>
            <w:vAlign w:val="bottom"/>
          </w:tcPr>
          <w:p>
            <w:pPr>
              <w:ind w:left="240"/>
              <w:spacing w:after="0"/>
              <w:rPr>
                <w:sz w:val="20"/>
                <w:szCs w:val="20"/>
                <w:color w:val="auto"/>
              </w:rPr>
            </w:pPr>
            <w:r>
              <w:rPr>
                <w:rFonts w:ascii="Arial" w:cs="Arial" w:eastAsia="Arial" w:hAnsi="Arial"/>
                <w:sz w:val="15"/>
                <w:szCs w:val="15"/>
                <w:color w:val="auto"/>
              </w:rPr>
              <w:t>Accumulated impairment losses</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rPr>
              <w:t>(8,492)</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(8,492)</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29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tcPr>
          <w:p>
            <w:pPr>
              <w:jc w:val="right"/>
              <w:ind w:right="27"/>
              <w:spacing w:after="0" w:line="150" w:lineRule="exact"/>
              <w:rPr>
                <w:sz w:val="20"/>
                <w:szCs w:val="20"/>
                <w:color w:val="auto"/>
              </w:rPr>
            </w:pPr>
            <w:r>
              <w:rPr>
                <w:rFonts w:ascii="Arial" w:cs="Arial" w:eastAsia="Arial" w:hAnsi="Arial"/>
                <w:sz w:val="15"/>
                <w:szCs w:val="15"/>
                <w:color w:val="auto"/>
              </w:rPr>
              <w:t>409,128</w:t>
            </w:r>
          </w:p>
        </w:tc>
        <w:tc>
          <w:tcPr>
            <w:tcW w:w="760" w:type="dxa"/>
            <w:vAlign w:val="bottom"/>
          </w:tcPr>
          <w:p>
            <w:pPr>
              <w:spacing w:after="0"/>
              <w:rPr>
                <w:sz w:val="13"/>
                <w:szCs w:val="13"/>
                <w:color w:val="auto"/>
              </w:rPr>
            </w:pPr>
          </w:p>
        </w:tc>
        <w:tc>
          <w:tcPr>
            <w:tcW w:w="540" w:type="dxa"/>
            <w:vAlign w:val="bottom"/>
          </w:tcPr>
          <w:p>
            <w:pPr>
              <w:jc w:val="right"/>
              <w:spacing w:after="0" w:line="150" w:lineRule="exact"/>
              <w:rPr>
                <w:sz w:val="20"/>
                <w:szCs w:val="20"/>
                <w:color w:val="auto"/>
              </w:rPr>
            </w:pPr>
            <w:r>
              <w:rPr>
                <w:rFonts w:ascii="Arial" w:cs="Arial" w:eastAsia="Arial" w:hAnsi="Arial"/>
                <w:sz w:val="15"/>
                <w:szCs w:val="15"/>
                <w:color w:val="auto"/>
                <w:w w:val="95"/>
              </w:rPr>
              <w:t>152,187</w:t>
            </w:r>
          </w:p>
        </w:tc>
        <w:tc>
          <w:tcPr>
            <w:tcW w:w="580" w:type="dxa"/>
            <w:vAlign w:val="bottom"/>
          </w:tcPr>
          <w:p>
            <w:pPr>
              <w:spacing w:after="0"/>
              <w:rPr>
                <w:sz w:val="13"/>
                <w:szCs w:val="13"/>
                <w:color w:val="auto"/>
              </w:rPr>
            </w:pPr>
          </w:p>
        </w:tc>
        <w:tc>
          <w:tcPr>
            <w:tcW w:w="960" w:type="dxa"/>
            <w:vAlign w:val="bottom"/>
            <w:gridSpan w:val="3"/>
          </w:tcPr>
          <w:p>
            <w:pPr>
              <w:jc w:val="right"/>
              <w:ind w:right="88"/>
              <w:spacing w:after="0" w:line="150" w:lineRule="exact"/>
              <w:rPr>
                <w:sz w:val="20"/>
                <w:szCs w:val="20"/>
                <w:color w:val="auto"/>
              </w:rPr>
            </w:pPr>
            <w:r>
              <w:rPr>
                <w:rFonts w:ascii="Arial" w:cs="Arial" w:eastAsia="Arial" w:hAnsi="Arial"/>
                <w:sz w:val="15"/>
                <w:szCs w:val="15"/>
                <w:color w:val="auto"/>
              </w:rPr>
              <w:t>515,936</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right"/>
              <w:ind w:right="147"/>
              <w:spacing w:after="0" w:line="150" w:lineRule="exact"/>
              <w:rPr>
                <w:sz w:val="20"/>
                <w:szCs w:val="20"/>
                <w:color w:val="auto"/>
              </w:rPr>
            </w:pPr>
            <w:r>
              <w:rPr>
                <w:rFonts w:ascii="Arial" w:cs="Arial" w:eastAsia="Arial" w:hAnsi="Arial"/>
                <w:sz w:val="15"/>
                <w:szCs w:val="15"/>
                <w:color w:val="auto"/>
              </w:rPr>
              <w:t>30,872</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0" w:lineRule="exact"/>
              <w:rPr>
                <w:sz w:val="20"/>
                <w:szCs w:val="20"/>
                <w:color w:val="auto"/>
              </w:rPr>
            </w:pPr>
            <w:r>
              <w:rPr>
                <w:rFonts w:ascii="Arial" w:cs="Arial" w:eastAsia="Arial" w:hAnsi="Arial"/>
                <w:sz w:val="15"/>
                <w:szCs w:val="15"/>
                <w:color w:val="auto"/>
              </w:rPr>
              <w:t>1,108,123</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Arial" w:cs="Arial" w:eastAsia="Arial" w:hAnsi="Arial"/>
                <w:sz w:val="15"/>
                <w:szCs w:val="15"/>
                <w:color w:val="auto"/>
              </w:rPr>
              <w:t>Acquisitions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5"/>
                <w:szCs w:val="15"/>
                <w:b w:val="1"/>
                <w:bCs w:val="1"/>
                <w:color w:val="auto"/>
              </w:rPr>
              <w:t>7,364</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7,364</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spacing w:after="0"/>
              <w:rPr>
                <w:sz w:val="20"/>
                <w:szCs w:val="20"/>
                <w:color w:val="auto"/>
              </w:rPr>
            </w:pPr>
            <w:r>
              <w:rPr>
                <w:rFonts w:ascii="Arial" w:cs="Arial" w:eastAsia="Arial" w:hAnsi="Arial"/>
                <w:sz w:val="15"/>
                <w:szCs w:val="15"/>
                <w:color w:val="auto"/>
              </w:rPr>
              <w:t>Dispositions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147"/>
              <w:spacing w:after="0"/>
              <w:rPr>
                <w:sz w:val="20"/>
                <w:szCs w:val="20"/>
                <w:color w:val="auto"/>
              </w:rPr>
            </w:pPr>
            <w:r>
              <w:rPr>
                <w:rFonts w:ascii="Arial" w:cs="Arial" w:eastAsia="Arial" w:hAnsi="Arial"/>
                <w:sz w:val="15"/>
                <w:szCs w:val="15"/>
                <w:b w:val="1"/>
                <w:bCs w:val="1"/>
                <w:color w:val="auto"/>
              </w:rPr>
              <w:t>(29,000)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(29,000)</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140" w:type="dxa"/>
            <w:vAlign w:val="bottom"/>
            <w:gridSpan w:val="2"/>
          </w:tcPr>
          <w:p>
            <w:pPr>
              <w:spacing w:after="0"/>
              <w:rPr>
                <w:sz w:val="20"/>
                <w:szCs w:val="20"/>
                <w:color w:val="auto"/>
              </w:rPr>
            </w:pPr>
            <w:r>
              <w:rPr>
                <w:rFonts w:ascii="Arial" w:cs="Arial" w:eastAsia="Arial" w:hAnsi="Arial"/>
                <w:sz w:val="15"/>
                <w:szCs w:val="15"/>
                <w:color w:val="auto"/>
              </w:rPr>
              <w:t>Foreign currency exchange rate changes and other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95"/>
              </w:rPr>
              <w:t>89</w:t>
            </w:r>
          </w:p>
        </w:tc>
        <w:tc>
          <w:tcPr>
            <w:tcW w:w="7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11,254</w:t>
            </w: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(1,872)</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9,471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Balance as of September 30, 2012</w:t>
            </w: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vMerge w:val="restart"/>
          </w:tcPr>
          <w:p>
            <w:pPr>
              <w:jc w:val="right"/>
              <w:ind w:right="27"/>
              <w:spacing w:after="0"/>
              <w:rPr>
                <w:sz w:val="20"/>
                <w:szCs w:val="20"/>
                <w:color w:val="auto"/>
              </w:rPr>
            </w:pPr>
            <w:r>
              <w:rPr>
                <w:rFonts w:ascii="Arial" w:cs="Arial" w:eastAsia="Arial" w:hAnsi="Arial"/>
                <w:sz w:val="15"/>
                <w:szCs w:val="15"/>
                <w:b w:val="1"/>
                <w:bCs w:val="1"/>
                <w:color w:val="auto"/>
              </w:rPr>
              <w:t>409,217</w:t>
            </w:r>
          </w:p>
        </w:tc>
        <w:tc>
          <w:tcPr>
            <w:tcW w:w="7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5"/>
              </w:rPr>
              <w:t>152,187</w:t>
            </w:r>
          </w:p>
        </w:tc>
        <w:tc>
          <w:tcPr>
            <w:tcW w:w="580" w:type="dxa"/>
            <w:vAlign w:val="bottom"/>
          </w:tcPr>
          <w:p>
            <w:pPr>
              <w:spacing w:after="0"/>
              <w:rPr>
                <w:sz w:val="14"/>
                <w:szCs w:val="14"/>
                <w:color w:val="auto"/>
              </w:rPr>
            </w:pPr>
          </w:p>
        </w:tc>
        <w:tc>
          <w:tcPr>
            <w:tcW w:w="960" w:type="dxa"/>
            <w:vAlign w:val="bottom"/>
            <w:gridSpan w:val="3"/>
            <w:vMerge w:val="restart"/>
          </w:tcPr>
          <w:p>
            <w:pPr>
              <w:jc w:val="right"/>
              <w:ind w:right="88"/>
              <w:spacing w:after="0"/>
              <w:rPr>
                <w:sz w:val="20"/>
                <w:szCs w:val="20"/>
                <w:color w:val="auto"/>
              </w:rPr>
            </w:pPr>
            <w:r>
              <w:rPr>
                <w:rFonts w:ascii="Arial" w:cs="Arial" w:eastAsia="Arial" w:hAnsi="Arial"/>
                <w:sz w:val="15"/>
                <w:szCs w:val="15"/>
                <w:b w:val="1"/>
                <w:bCs w:val="1"/>
                <w:color w:val="auto"/>
              </w:rPr>
              <w:t>534,554</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1,095,958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40"/>
              <w:spacing w:after="0" w:line="156" w:lineRule="exact"/>
              <w:rPr>
                <w:sz w:val="20"/>
                <w:szCs w:val="20"/>
                <w:color w:val="auto"/>
              </w:rPr>
            </w:pPr>
            <w:r>
              <w:rPr>
                <w:rFonts w:ascii="Arial" w:cs="Arial" w:eastAsia="Arial" w:hAnsi="Arial"/>
                <w:sz w:val="15"/>
                <w:szCs w:val="15"/>
                <w:color w:val="auto"/>
              </w:rPr>
              <w:t>Goodwill</w:t>
            </w: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gridSpan w:val="3"/>
            <w:vMerge w:val="continue"/>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5"/>
                <w:szCs w:val="15"/>
                <w:color w:val="auto"/>
              </w:rPr>
              <w:t>Accumulated impairment losses</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jc w:val="right"/>
              <w:ind w:right="27"/>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ind w:right="88"/>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ind w:right="147"/>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top w:val="single" w:sz="8" w:color="auto"/>
              <w:bottom w:val="single" w:sz="8" w:color="auto"/>
            </w:tcBorders>
            <w:gridSpan w:val="3"/>
          </w:tcPr>
          <w:p>
            <w:pPr>
              <w:jc w:val="right"/>
              <w:ind w:right="27"/>
              <w:spacing w:after="0" w:line="167" w:lineRule="exact"/>
              <w:rPr>
                <w:sz w:val="20"/>
                <w:szCs w:val="20"/>
                <w:color w:val="auto"/>
              </w:rPr>
            </w:pPr>
            <w:r>
              <w:rPr>
                <w:rFonts w:ascii="Arial" w:cs="Arial" w:eastAsia="Arial" w:hAnsi="Arial"/>
                <w:sz w:val="15"/>
                <w:szCs w:val="15"/>
                <w:b w:val="1"/>
                <w:bCs w:val="1"/>
                <w:color w:val="auto"/>
              </w:rPr>
              <w:t>409,217</w:t>
            </w:r>
          </w:p>
        </w:tc>
        <w:tc>
          <w:tcPr>
            <w:tcW w:w="760" w:type="dxa"/>
            <w:vAlign w:val="bottom"/>
            <w:tcBorders>
              <w:top w:val="single" w:sz="8" w:color="auto"/>
              <w:bottom w:val="single" w:sz="8" w:color="auto"/>
            </w:tcBorders>
          </w:tcPr>
          <w:p>
            <w:pPr>
              <w:jc w:val="right"/>
              <w:ind w:right="388"/>
              <w:spacing w:after="0" w:line="167" w:lineRule="exact"/>
              <w:rPr>
                <w:sz w:val="20"/>
                <w:szCs w:val="20"/>
                <w:color w:val="auto"/>
              </w:rPr>
            </w:pPr>
            <w:r>
              <w:rPr>
                <w:rFonts w:ascii="Arial" w:cs="Arial" w:eastAsia="Arial" w:hAnsi="Arial"/>
                <w:sz w:val="15"/>
                <w:szCs w:val="15"/>
                <w:b w:val="1"/>
                <w:bCs w:val="1"/>
                <w:color w:val="auto"/>
              </w:rPr>
              <w:t>$</w:t>
            </w:r>
          </w:p>
        </w:tc>
        <w:tc>
          <w:tcPr>
            <w:tcW w:w="54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w w:val="95"/>
              </w:rPr>
              <w:t>152,187</w:t>
            </w:r>
          </w:p>
        </w:tc>
        <w:tc>
          <w:tcPr>
            <w:tcW w:w="580" w:type="dxa"/>
            <w:vAlign w:val="bottom"/>
            <w:tcBorders>
              <w:top w:val="single" w:sz="8" w:color="auto"/>
              <w:bottom w:val="single" w:sz="8" w:color="auto"/>
            </w:tcBorders>
          </w:tcPr>
          <w:p>
            <w:pPr>
              <w:jc w:val="right"/>
              <w:ind w:right="107"/>
              <w:spacing w:after="0" w:line="167" w:lineRule="exact"/>
              <w:rPr>
                <w:sz w:val="20"/>
                <w:szCs w:val="20"/>
                <w:color w:val="auto"/>
              </w:rPr>
            </w:pPr>
            <w:r>
              <w:rPr>
                <w:rFonts w:ascii="Arial" w:cs="Arial" w:eastAsia="Arial" w:hAnsi="Arial"/>
                <w:sz w:val="15"/>
                <w:szCs w:val="15"/>
                <w:b w:val="1"/>
                <w:bCs w:val="1"/>
                <w:color w:val="auto"/>
              </w:rPr>
              <w:t>$</w:t>
            </w:r>
          </w:p>
        </w:tc>
        <w:tc>
          <w:tcPr>
            <w:tcW w:w="960" w:type="dxa"/>
            <w:vAlign w:val="bottom"/>
            <w:tcBorders>
              <w:top w:val="single" w:sz="8" w:color="auto"/>
              <w:bottom w:val="single" w:sz="8" w:color="auto"/>
            </w:tcBorders>
            <w:gridSpan w:val="3"/>
          </w:tcPr>
          <w:p>
            <w:pPr>
              <w:jc w:val="right"/>
              <w:ind w:right="88"/>
              <w:spacing w:after="0" w:line="167" w:lineRule="exact"/>
              <w:rPr>
                <w:sz w:val="20"/>
                <w:szCs w:val="20"/>
                <w:color w:val="auto"/>
              </w:rPr>
            </w:pPr>
            <w:r>
              <w:rPr>
                <w:rFonts w:ascii="Arial" w:cs="Arial" w:eastAsia="Arial" w:hAnsi="Arial"/>
                <w:sz w:val="15"/>
                <w:szCs w:val="15"/>
                <w:b w:val="1"/>
                <w:bCs w:val="1"/>
                <w:color w:val="auto"/>
              </w:rPr>
              <w:t>534,554</w:t>
            </w:r>
          </w:p>
        </w:tc>
        <w:tc>
          <w:tcPr>
            <w:tcW w:w="300" w:type="dxa"/>
            <w:vAlign w:val="bottom"/>
            <w:tcBorders>
              <w:top w:val="single" w:sz="8" w:color="auto"/>
              <w:bottom w:val="single" w:sz="8" w:color="auto"/>
            </w:tcBorders>
          </w:tcPr>
          <w:p>
            <w:pPr>
              <w:jc w:val="right"/>
              <w:ind w:right="27"/>
              <w:spacing w:after="0" w:line="167" w:lineRule="exact"/>
              <w:rPr>
                <w:sz w:val="20"/>
                <w:szCs w:val="20"/>
                <w:color w:val="auto"/>
              </w:rPr>
            </w:pPr>
            <w:r>
              <w:rPr>
                <w:rFonts w:ascii="Arial" w:cs="Arial" w:eastAsia="Arial" w:hAnsi="Arial"/>
                <w:sz w:val="15"/>
                <w:szCs w:val="15"/>
                <w:b w:val="1"/>
                <w:bCs w:val="1"/>
                <w:color w:val="auto"/>
              </w:rPr>
              <w:t>$</w:t>
            </w:r>
          </w:p>
        </w:tc>
        <w:tc>
          <w:tcPr>
            <w:tcW w:w="2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w:t>
            </w:r>
          </w:p>
        </w:tc>
        <w:tc>
          <w:tcPr>
            <w:tcW w:w="280" w:type="dxa"/>
            <w:vAlign w:val="bottom"/>
            <w:tcBorders>
              <w:top w:val="single" w:sz="8" w:color="auto"/>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0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1,095,958</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40" w:type="dxa"/>
            <w:vAlign w:val="bottom"/>
            <w:gridSpan w:val="2"/>
            <w:vMerge w:val="restart"/>
          </w:tcPr>
          <w:p>
            <w:pPr>
              <w:spacing w:after="0"/>
              <w:rPr>
                <w:sz w:val="20"/>
                <w:szCs w:val="20"/>
                <w:color w:val="auto"/>
              </w:rPr>
            </w:pPr>
            <w:r>
              <w:rPr>
                <w:rFonts w:ascii="Arial" w:cs="Arial" w:eastAsia="Arial" w:hAnsi="Arial"/>
                <w:sz w:val="17"/>
                <w:szCs w:val="17"/>
                <w:color w:val="auto"/>
              </w:rPr>
              <w:t>Other intangible assets consist of the following:</w:t>
            </w: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4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348"/>
              <w:spacing w:after="0"/>
              <w:rPr>
                <w:sz w:val="20"/>
                <w:szCs w:val="20"/>
                <w:color w:val="auto"/>
              </w:rPr>
            </w:pPr>
            <w:r>
              <w:rPr>
                <w:rFonts w:ascii="Arial" w:cs="Arial" w:eastAsia="Arial" w:hAnsi="Arial"/>
                <w:sz w:val="12"/>
                <w:szCs w:val="12"/>
                <w:b w:val="1"/>
                <w:bCs w:val="1"/>
                <w:color w:val="auto"/>
              </w:rPr>
              <w:t>As of September 30, 2012</w:t>
            </w: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Arial" w:cs="Arial" w:eastAsia="Arial" w:hAnsi="Arial"/>
                <w:sz w:val="12"/>
                <w:szCs w:val="12"/>
                <w:color w:val="auto"/>
              </w:rPr>
              <w:t>As of December 31, 2011</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29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gridSpan w:val="2"/>
          </w:tcPr>
          <w:p>
            <w:pPr>
              <w:jc w:val="right"/>
              <w:ind w:right="307"/>
              <w:spacing w:after="0" w:line="114" w:lineRule="exact"/>
              <w:rPr>
                <w:sz w:val="20"/>
                <w:szCs w:val="20"/>
                <w:color w:val="auto"/>
              </w:rPr>
            </w:pPr>
            <w:r>
              <w:rPr>
                <w:rFonts w:ascii="Arial" w:cs="Arial" w:eastAsia="Arial" w:hAnsi="Arial"/>
                <w:sz w:val="12"/>
                <w:szCs w:val="12"/>
                <w:b w:val="1"/>
                <w:bCs w:val="1"/>
                <w:color w:val="auto"/>
              </w:rPr>
              <w:t>Gross</w:t>
            </w:r>
          </w:p>
        </w:tc>
        <w:tc>
          <w:tcPr>
            <w:tcW w:w="2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80" w:type="dxa"/>
            <w:vAlign w:val="bottom"/>
          </w:tcPr>
          <w:p>
            <w:pPr>
              <w:jc w:val="center"/>
              <w:ind w:right="307"/>
              <w:spacing w:after="0" w:line="114" w:lineRule="exact"/>
              <w:rPr>
                <w:sz w:val="20"/>
                <w:szCs w:val="20"/>
                <w:color w:val="auto"/>
              </w:rPr>
            </w:pPr>
            <w:r>
              <w:rPr>
                <w:rFonts w:ascii="Arial" w:cs="Arial" w:eastAsia="Arial" w:hAnsi="Arial"/>
                <w:sz w:val="12"/>
                <w:szCs w:val="12"/>
                <w:b w:val="1"/>
                <w:bCs w:val="1"/>
                <w:color w:val="auto"/>
              </w:rPr>
              <w:t>Net</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center"/>
              <w:ind w:left="128"/>
              <w:spacing w:after="0" w:line="114" w:lineRule="exact"/>
              <w:rPr>
                <w:sz w:val="20"/>
                <w:szCs w:val="20"/>
                <w:color w:val="auto"/>
              </w:rPr>
            </w:pPr>
            <w:r>
              <w:rPr>
                <w:rFonts w:ascii="Arial" w:cs="Arial" w:eastAsia="Arial" w:hAnsi="Arial"/>
                <w:sz w:val="12"/>
                <w:szCs w:val="12"/>
                <w:color w:val="auto"/>
              </w:rPr>
              <w:t>Gross</w:t>
            </w: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100"/>
              <w:spacing w:after="0" w:line="114" w:lineRule="exact"/>
              <w:rPr>
                <w:sz w:val="20"/>
                <w:szCs w:val="20"/>
                <w:color w:val="auto"/>
              </w:rPr>
            </w:pPr>
            <w:r>
              <w:rPr>
                <w:rFonts w:ascii="Arial" w:cs="Arial" w:eastAsia="Arial" w:hAnsi="Arial"/>
                <w:sz w:val="12"/>
                <w:szCs w:val="12"/>
                <w:color w:val="auto"/>
              </w:rPr>
              <w:t>Net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940" w:type="dxa"/>
            <w:vAlign w:val="bottom"/>
          </w:tcPr>
          <w:p>
            <w:pPr>
              <w:spacing w:after="0"/>
              <w:rPr>
                <w:sz w:val="11"/>
                <w:szCs w:val="11"/>
                <w:color w:val="auto"/>
              </w:rPr>
            </w:pPr>
          </w:p>
        </w:tc>
        <w:tc>
          <w:tcPr>
            <w:tcW w:w="1200" w:type="dxa"/>
            <w:vAlign w:val="bottom"/>
          </w:tcPr>
          <w:p>
            <w:pPr>
              <w:jc w:val="center"/>
              <w:ind w:left="189"/>
              <w:spacing w:after="0" w:line="137" w:lineRule="exact"/>
              <w:rPr>
                <w:sz w:val="20"/>
                <w:szCs w:val="20"/>
                <w:color w:val="auto"/>
              </w:rPr>
            </w:pPr>
            <w:r>
              <w:rPr>
                <w:rFonts w:ascii="Arial" w:cs="Arial" w:eastAsia="Arial" w:hAnsi="Arial"/>
                <w:sz w:val="12"/>
                <w:szCs w:val="12"/>
                <w:b w:val="1"/>
                <w:bCs w:val="1"/>
                <w:color w:val="auto"/>
              </w:rPr>
              <w:t>Useful Life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3"/>
          </w:tcPr>
          <w:p>
            <w:pPr>
              <w:ind w:left="20"/>
              <w:spacing w:after="0" w:line="137" w:lineRule="exact"/>
              <w:rPr>
                <w:sz w:val="20"/>
                <w:szCs w:val="20"/>
                <w:color w:val="auto"/>
              </w:rPr>
            </w:pPr>
            <w:r>
              <w:rPr>
                <w:rFonts w:ascii="Arial" w:cs="Arial" w:eastAsia="Arial" w:hAnsi="Arial"/>
                <w:sz w:val="12"/>
                <w:szCs w:val="12"/>
                <w:b w:val="1"/>
                <w:bCs w:val="1"/>
                <w:color w:val="auto"/>
              </w:rPr>
              <w:t>Carrying</w:t>
            </w:r>
          </w:p>
        </w:tc>
        <w:tc>
          <w:tcPr>
            <w:tcW w:w="220" w:type="dxa"/>
            <w:vAlign w:val="bottom"/>
          </w:tcPr>
          <w:p>
            <w:pPr>
              <w:spacing w:after="0"/>
              <w:rPr>
                <w:sz w:val="11"/>
                <w:szCs w:val="11"/>
                <w:color w:val="auto"/>
              </w:rPr>
            </w:pPr>
          </w:p>
        </w:tc>
        <w:tc>
          <w:tcPr>
            <w:tcW w:w="1040" w:type="dxa"/>
            <w:vAlign w:val="bottom"/>
            <w:gridSpan w:val="2"/>
          </w:tcPr>
          <w:p>
            <w:pPr>
              <w:jc w:val="right"/>
              <w:ind w:right="88"/>
              <w:spacing w:after="0" w:line="137" w:lineRule="exact"/>
              <w:rPr>
                <w:sz w:val="20"/>
                <w:szCs w:val="20"/>
                <w:color w:val="auto"/>
              </w:rPr>
            </w:pPr>
            <w:r>
              <w:rPr>
                <w:rFonts w:ascii="Arial" w:cs="Arial" w:eastAsia="Arial" w:hAnsi="Arial"/>
                <w:sz w:val="12"/>
                <w:szCs w:val="12"/>
                <w:b w:val="1"/>
                <w:bCs w:val="1"/>
                <w:color w:val="auto"/>
              </w:rPr>
              <w:t>Accumulated</w:t>
            </w:r>
          </w:p>
        </w:tc>
        <w:tc>
          <w:tcPr>
            <w:tcW w:w="1120" w:type="dxa"/>
            <w:vAlign w:val="bottom"/>
            <w:gridSpan w:val="2"/>
          </w:tcPr>
          <w:p>
            <w:pPr>
              <w:jc w:val="center"/>
              <w:ind w:left="108"/>
              <w:spacing w:after="0" w:line="137" w:lineRule="exact"/>
              <w:rPr>
                <w:sz w:val="20"/>
                <w:szCs w:val="20"/>
                <w:color w:val="auto"/>
              </w:rPr>
            </w:pPr>
            <w:r>
              <w:rPr>
                <w:rFonts w:ascii="Arial" w:cs="Arial" w:eastAsia="Arial" w:hAnsi="Arial"/>
                <w:sz w:val="12"/>
                <w:szCs w:val="12"/>
                <w:b w:val="1"/>
                <w:bCs w:val="1"/>
                <w:color w:val="auto"/>
              </w:rPr>
              <w:t>Carrying</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left="128"/>
              <w:spacing w:after="0" w:line="137" w:lineRule="exact"/>
              <w:rPr>
                <w:sz w:val="20"/>
                <w:szCs w:val="20"/>
                <w:color w:val="auto"/>
              </w:rPr>
            </w:pPr>
            <w:r>
              <w:rPr>
                <w:rFonts w:ascii="Arial" w:cs="Arial" w:eastAsia="Arial" w:hAnsi="Arial"/>
                <w:sz w:val="12"/>
                <w:szCs w:val="12"/>
                <w:color w:val="auto"/>
              </w:rPr>
              <w:t>Carrying</w:t>
            </w: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Arial" w:cs="Arial" w:eastAsia="Arial" w:hAnsi="Arial"/>
                <w:sz w:val="12"/>
                <w:szCs w:val="12"/>
                <w:color w:val="auto"/>
              </w:rPr>
              <w:t>Accumulated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100"/>
              <w:spacing w:after="0" w:line="137" w:lineRule="exact"/>
              <w:rPr>
                <w:sz w:val="20"/>
                <w:szCs w:val="20"/>
                <w:color w:val="auto"/>
              </w:rPr>
            </w:pPr>
            <w:r>
              <w:rPr>
                <w:rFonts w:ascii="Arial" w:cs="Arial" w:eastAsia="Arial" w:hAnsi="Arial"/>
                <w:sz w:val="12"/>
                <w:szCs w:val="12"/>
                <w:color w:val="auto"/>
              </w:rPr>
              <w:t>Carrying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9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200" w:type="dxa"/>
            <w:vAlign w:val="bottom"/>
            <w:tcBorders>
              <w:bottom w:val="single" w:sz="8" w:color="auto"/>
            </w:tcBorders>
          </w:tcPr>
          <w:p>
            <w:pPr>
              <w:jc w:val="center"/>
              <w:ind w:left="189"/>
              <w:spacing w:after="0"/>
              <w:rPr>
                <w:sz w:val="20"/>
                <w:szCs w:val="20"/>
                <w:color w:val="auto"/>
              </w:rPr>
            </w:pPr>
            <w:r>
              <w:rPr>
                <w:rFonts w:ascii="Arial" w:cs="Arial" w:eastAsia="Arial" w:hAnsi="Arial"/>
                <w:sz w:val="12"/>
                <w:szCs w:val="12"/>
                <w:b w:val="1"/>
                <w:bCs w:val="1"/>
                <w:color w:val="auto"/>
              </w:rPr>
              <w:t>Range</w:t>
            </w: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2"/>
                <w:szCs w:val="12"/>
                <w:b w:val="1"/>
                <w:bCs w:val="1"/>
                <w:color w:val="auto"/>
              </w:rPr>
              <w:t>Amortization</w:t>
            </w:r>
          </w:p>
        </w:tc>
        <w:tc>
          <w:tcPr>
            <w:tcW w:w="1120" w:type="dxa"/>
            <w:vAlign w:val="bottom"/>
            <w:tcBorders>
              <w:bottom w:val="single" w:sz="8" w:color="auto"/>
            </w:tcBorders>
            <w:gridSpan w:val="2"/>
          </w:tcPr>
          <w:p>
            <w:pPr>
              <w:jc w:val="center"/>
              <w:ind w:left="108"/>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center"/>
              <w:ind w:left="128"/>
              <w:spacing w:after="0"/>
              <w:rPr>
                <w:sz w:val="20"/>
                <w:szCs w:val="20"/>
                <w:color w:val="auto"/>
              </w:rPr>
            </w:pPr>
            <w:r>
              <w:rPr>
                <w:rFonts w:ascii="Arial" w:cs="Arial" w:eastAsia="Arial" w:hAnsi="Arial"/>
                <w:sz w:val="12"/>
                <w:szCs w:val="12"/>
                <w:color w:val="auto"/>
              </w:rPr>
              <w:t>Amount</w:t>
            </w:r>
          </w:p>
        </w:tc>
        <w:tc>
          <w:tcPr>
            <w:tcW w:w="3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Amortization</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color w:val="auto"/>
              </w:rPr>
              <w:t>Amount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940" w:type="dxa"/>
            <w:vAlign w:val="bottom"/>
          </w:tcPr>
          <w:p>
            <w:pPr>
              <w:spacing w:after="0" w:line="168" w:lineRule="exact"/>
              <w:rPr>
                <w:sz w:val="20"/>
                <w:szCs w:val="20"/>
                <w:color w:val="auto"/>
              </w:rPr>
            </w:pPr>
            <w:r>
              <w:rPr>
                <w:rFonts w:ascii="Arial" w:cs="Arial" w:eastAsia="Arial" w:hAnsi="Arial"/>
                <w:sz w:val="15"/>
                <w:szCs w:val="15"/>
                <w:b w:val="1"/>
                <w:bCs w:val="1"/>
                <w:color w:val="auto"/>
              </w:rPr>
              <w:t>Amortized Intangible Assets</w:t>
            </w:r>
          </w:p>
        </w:tc>
        <w:tc>
          <w:tcPr>
            <w:tcW w:w="1200" w:type="dxa"/>
            <w:vAlign w:val="bottom"/>
            <w:vMerge w:val="restart"/>
          </w:tcPr>
          <w:p>
            <w:pPr>
              <w:jc w:val="center"/>
              <w:ind w:left="189"/>
              <w:spacing w:after="0"/>
              <w:rPr>
                <w:sz w:val="20"/>
                <w:szCs w:val="20"/>
                <w:color w:val="auto"/>
              </w:rPr>
            </w:pPr>
            <w:r>
              <w:rPr>
                <w:rFonts w:ascii="Arial" w:cs="Arial" w:eastAsia="Arial" w:hAnsi="Arial"/>
                <w:sz w:val="15"/>
                <w:szCs w:val="15"/>
                <w:b w:val="1"/>
                <w:bCs w:val="1"/>
                <w:color w:val="auto"/>
              </w:rPr>
              <w:t>2-5 years</w:t>
            </w:r>
          </w:p>
        </w:tc>
        <w:tc>
          <w:tcPr>
            <w:tcW w:w="320" w:type="dxa"/>
            <w:vAlign w:val="bottom"/>
            <w:gridSpan w:val="2"/>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14,348</w:t>
            </w:r>
          </w:p>
        </w:tc>
        <w:tc>
          <w:tcPr>
            <w:tcW w:w="2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12,215</w:t>
            </w:r>
          </w:p>
        </w:tc>
        <w:tc>
          <w:tcPr>
            <w:tcW w:w="540" w:type="dxa"/>
            <w:vAlign w:val="bottom"/>
            <w:vMerge w:val="restart"/>
          </w:tcPr>
          <w:p>
            <w:pPr>
              <w:jc w:val="right"/>
              <w:ind w:right="248"/>
              <w:spacing w:after="0"/>
              <w:rPr>
                <w:sz w:val="20"/>
                <w:szCs w:val="20"/>
                <w:color w:val="auto"/>
              </w:rPr>
            </w:pPr>
            <w:r>
              <w:rPr>
                <w:rFonts w:ascii="Arial" w:cs="Arial" w:eastAsia="Arial" w:hAnsi="Arial"/>
                <w:sz w:val="15"/>
                <w:szCs w:val="15"/>
                <w:b w:val="1"/>
                <w:bCs w:val="1"/>
                <w:color w:val="auto"/>
              </w:rPr>
              <w:t>$</w:t>
            </w:r>
          </w:p>
        </w:tc>
        <w:tc>
          <w:tcPr>
            <w:tcW w:w="58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2,133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40"/>
              <w:spacing w:after="0" w:line="156" w:lineRule="exact"/>
              <w:rPr>
                <w:sz w:val="20"/>
                <w:szCs w:val="20"/>
                <w:color w:val="auto"/>
              </w:rPr>
            </w:pPr>
            <w:r>
              <w:rPr>
                <w:rFonts w:ascii="Arial" w:cs="Arial" w:eastAsia="Arial" w:hAnsi="Arial"/>
                <w:sz w:val="15"/>
                <w:szCs w:val="15"/>
                <w:color w:val="auto"/>
              </w:rPr>
              <w:t>Non-compete agreements</w:t>
            </w:r>
          </w:p>
        </w:tc>
        <w:tc>
          <w:tcPr>
            <w:tcW w:w="12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gridSpan w:val="2"/>
          </w:tcPr>
          <w:p>
            <w:pPr>
              <w:jc w:val="center"/>
              <w:ind w:left="47"/>
              <w:spacing w:after="0" w:line="156"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14,493</w:t>
            </w:r>
          </w:p>
        </w:tc>
        <w:tc>
          <w:tcPr>
            <w:tcW w:w="28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w:t>
            </w:r>
          </w:p>
        </w:tc>
        <w:tc>
          <w:tcPr>
            <w:tcW w:w="1100" w:type="dxa"/>
            <w:vAlign w:val="bottom"/>
            <w:gridSpan w:val="2"/>
          </w:tcPr>
          <w:p>
            <w:pPr>
              <w:jc w:val="right"/>
              <w:ind w:right="86"/>
              <w:spacing w:after="0" w:line="156" w:lineRule="exact"/>
              <w:rPr>
                <w:sz w:val="20"/>
                <w:szCs w:val="20"/>
                <w:color w:val="auto"/>
              </w:rPr>
            </w:pPr>
            <w:r>
              <w:rPr>
                <w:rFonts w:ascii="Arial" w:cs="Arial" w:eastAsia="Arial" w:hAnsi="Arial"/>
                <w:sz w:val="15"/>
                <w:szCs w:val="15"/>
                <w:color w:val="auto"/>
              </w:rPr>
              <w:t>10,764</w:t>
            </w:r>
          </w:p>
        </w:tc>
        <w:tc>
          <w:tcPr>
            <w:tcW w:w="100" w:type="dxa"/>
            <w:vAlign w:val="bottom"/>
          </w:tcPr>
          <w:p>
            <w:pPr>
              <w:jc w:val="right"/>
              <w:spacing w:after="0" w:line="156" w:lineRule="exact"/>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line="156" w:lineRule="exact"/>
              <w:rPr>
                <w:sz w:val="20"/>
                <w:szCs w:val="20"/>
                <w:color w:val="auto"/>
              </w:rPr>
            </w:pPr>
            <w:r>
              <w:rPr>
                <w:rFonts w:ascii="Arial" w:cs="Arial" w:eastAsia="Arial" w:hAnsi="Arial"/>
                <w:sz w:val="15"/>
                <w:szCs w:val="15"/>
                <w:color w:val="auto"/>
              </w:rPr>
              <w:t>3,729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Student and customer relationships</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2-10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65,185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38,944</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26,241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75,734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47,888</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27,846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Databases and technology</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3-5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6,457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5,332</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1,125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10,514</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8,159</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2,355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Trade names and trademarks</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2-10 years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32,713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b w:val="1"/>
                <w:bCs w:val="1"/>
                <w:color w:val="auto"/>
              </w:rPr>
              <w:t>18,225</w:t>
            </w:r>
          </w:p>
        </w:tc>
        <w:tc>
          <w:tcPr>
            <w:tcW w:w="5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5"/>
                <w:szCs w:val="15"/>
                <w:b w:val="1"/>
                <w:bCs w:val="1"/>
                <w:color w:val="auto"/>
              </w:rPr>
              <w:t>14,488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36,222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gridSpan w:val="2"/>
          </w:tcPr>
          <w:p>
            <w:pPr>
              <w:jc w:val="right"/>
              <w:ind w:right="86"/>
              <w:spacing w:after="0"/>
              <w:rPr>
                <w:sz w:val="20"/>
                <w:szCs w:val="20"/>
                <w:color w:val="auto"/>
              </w:rPr>
            </w:pPr>
            <w:r>
              <w:rPr>
                <w:rFonts w:ascii="Arial" w:cs="Arial" w:eastAsia="Arial" w:hAnsi="Arial"/>
                <w:sz w:val="15"/>
                <w:szCs w:val="15"/>
                <w:color w:val="auto"/>
              </w:rPr>
              <w:t>18,936</w:t>
            </w:r>
          </w:p>
        </w:tc>
        <w:tc>
          <w:tcPr>
            <w:tcW w:w="10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5"/>
                <w:szCs w:val="15"/>
                <w:color w:val="auto"/>
              </w:rPr>
              <w:t>17,286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5"/>
                <w:szCs w:val="15"/>
                <w:color w:val="auto"/>
              </w:rPr>
              <w:t>Other</w:t>
            </w:r>
          </w:p>
        </w:tc>
        <w:tc>
          <w:tcPr>
            <w:tcW w:w="1200" w:type="dxa"/>
            <w:vAlign w:val="bottom"/>
          </w:tcPr>
          <w:p>
            <w:pPr>
              <w:jc w:val="center"/>
              <w:ind w:left="189"/>
              <w:spacing w:after="0"/>
              <w:rPr>
                <w:sz w:val="20"/>
                <w:szCs w:val="20"/>
                <w:color w:val="auto"/>
              </w:rPr>
            </w:pPr>
            <w:r>
              <w:rPr>
                <w:rFonts w:ascii="Arial" w:cs="Arial" w:eastAsia="Arial" w:hAnsi="Arial"/>
                <w:sz w:val="15"/>
                <w:szCs w:val="15"/>
                <w:b w:val="1"/>
                <w:bCs w:val="1"/>
                <w:color w:val="auto"/>
              </w:rPr>
              <w:t>1-25 years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9,344</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6,537</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2,807</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9,971</w:t>
            </w: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5"/>
                <w:szCs w:val="15"/>
                <w:color w:val="auto"/>
              </w:rPr>
              <w:t>6,565</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3,406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128,047</w:t>
            </w:r>
          </w:p>
        </w:tc>
        <w:tc>
          <w:tcPr>
            <w:tcW w:w="2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81,253</w:t>
            </w:r>
          </w:p>
        </w:tc>
        <w:tc>
          <w:tcPr>
            <w:tcW w:w="540" w:type="dxa"/>
            <w:vAlign w:val="bottom"/>
            <w:tcBorders>
              <w:bottom w:val="single" w:sz="8" w:color="auto"/>
            </w:tcBorders>
          </w:tcPr>
          <w:p>
            <w:pPr>
              <w:jc w:val="right"/>
              <w:ind w:right="248"/>
              <w:spacing w:after="0" w:line="167" w:lineRule="exact"/>
              <w:rPr>
                <w:sz w:val="20"/>
                <w:szCs w:val="20"/>
                <w:color w:val="auto"/>
              </w:rPr>
            </w:pPr>
            <w:r>
              <w:rPr>
                <w:rFonts w:ascii="Arial" w:cs="Arial" w:eastAsia="Arial" w:hAnsi="Arial"/>
                <w:sz w:val="15"/>
                <w:szCs w:val="15"/>
                <w:b w:val="1"/>
                <w:bCs w:val="1"/>
                <w:color w:val="auto"/>
              </w:rPr>
              <w:t>$</w:t>
            </w:r>
          </w:p>
        </w:tc>
        <w:tc>
          <w:tcPr>
            <w:tcW w:w="5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46,794</w:t>
            </w:r>
          </w:p>
        </w:tc>
        <w:tc>
          <w:tcPr>
            <w:tcW w:w="260" w:type="dxa"/>
            <w:vAlign w:val="bottom"/>
            <w:tcBorders>
              <w:bottom w:val="single" w:sz="8" w:color="auto"/>
            </w:tcBorders>
            <w:gridSpan w:val="2"/>
          </w:tcPr>
          <w:p>
            <w:pPr>
              <w:jc w:val="center"/>
              <w:ind w:left="47"/>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5"/>
                <w:szCs w:val="15"/>
                <w:color w:val="auto"/>
              </w:rPr>
              <w:t>146,934</w:t>
            </w:r>
          </w:p>
        </w:tc>
        <w:tc>
          <w:tcPr>
            <w:tcW w:w="280" w:type="dxa"/>
            <w:vAlign w:val="bottom"/>
            <w:tcBorders>
              <w:bottom w:val="single" w:sz="8" w:color="auto"/>
            </w:tcBorders>
            <w:gridSpan w:val="2"/>
          </w:tcPr>
          <w:p>
            <w:pPr>
              <w:jc w:val="right"/>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gridSpan w:val="2"/>
          </w:tcPr>
          <w:p>
            <w:pPr>
              <w:jc w:val="right"/>
              <w:ind w:right="86"/>
              <w:spacing w:after="0" w:line="167" w:lineRule="exact"/>
              <w:rPr>
                <w:sz w:val="20"/>
                <w:szCs w:val="20"/>
                <w:color w:val="auto"/>
              </w:rPr>
            </w:pPr>
            <w:r>
              <w:rPr>
                <w:rFonts w:ascii="Arial" w:cs="Arial" w:eastAsia="Arial" w:hAnsi="Arial"/>
                <w:sz w:val="15"/>
                <w:szCs w:val="15"/>
                <w:color w:val="auto"/>
              </w:rPr>
              <w:t>92,312</w:t>
            </w:r>
          </w:p>
        </w:tc>
        <w:tc>
          <w:tcPr>
            <w:tcW w:w="1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40"/>
              <w:spacing w:after="0" w:line="167" w:lineRule="exact"/>
              <w:rPr>
                <w:sz w:val="20"/>
                <w:szCs w:val="20"/>
                <w:color w:val="auto"/>
              </w:rPr>
            </w:pPr>
            <w:r>
              <w:rPr>
                <w:rFonts w:ascii="Arial" w:cs="Arial" w:eastAsia="Arial" w:hAnsi="Arial"/>
                <w:sz w:val="15"/>
                <w:szCs w:val="15"/>
                <w:color w:val="auto"/>
              </w:rPr>
              <w:t>54,622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vMerge w:val="restart"/>
          </w:tcPr>
          <w:p>
            <w:pPr>
              <w:spacing w:after="0"/>
              <w:rPr>
                <w:sz w:val="20"/>
                <w:szCs w:val="20"/>
                <w:color w:val="auto"/>
              </w:rPr>
            </w:pPr>
            <w:r>
              <w:rPr>
                <w:rFonts w:ascii="Arial" w:cs="Arial" w:eastAsia="Arial" w:hAnsi="Arial"/>
                <w:sz w:val="15"/>
                <w:szCs w:val="15"/>
                <w:b w:val="1"/>
                <w:bCs w:val="1"/>
                <w:color w:val="auto"/>
              </w:rPr>
              <w:t>Indefinite-Lived Intangible Assets</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94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gridSpan w:val="2"/>
            <w:vMerge w:val="restart"/>
          </w:tcPr>
          <w:p>
            <w:pPr>
              <w:jc w:val="right"/>
              <w:ind w:right="46"/>
              <w:spacing w:after="0"/>
              <w:rPr>
                <w:sz w:val="20"/>
                <w:szCs w:val="20"/>
                <w:color w:val="auto"/>
              </w:rPr>
            </w:pPr>
            <w:r>
              <w:rPr>
                <w:rFonts w:ascii="Arial" w:cs="Arial" w:eastAsia="Arial" w:hAnsi="Arial"/>
                <w:sz w:val="15"/>
                <w:szCs w:val="15"/>
                <w:b w:val="1"/>
                <w:bCs w:val="1"/>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496,321</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40" w:type="dxa"/>
            <w:vAlign w:val="bottom"/>
          </w:tcPr>
          <w:p>
            <w:pPr>
              <w:ind w:left="240"/>
              <w:spacing w:after="0" w:line="156" w:lineRule="exact"/>
              <w:rPr>
                <w:sz w:val="20"/>
                <w:szCs w:val="20"/>
                <w:color w:val="auto"/>
              </w:rPr>
            </w:pPr>
            <w:r>
              <w:rPr>
                <w:rFonts w:ascii="Arial" w:cs="Arial" w:eastAsia="Arial" w:hAnsi="Arial"/>
                <w:sz w:val="15"/>
                <w:szCs w:val="15"/>
                <w:color w:val="auto"/>
              </w:rPr>
              <w:t>Franchise agreements</w:t>
            </w:r>
          </w:p>
        </w:tc>
        <w:tc>
          <w:tcPr>
            <w:tcW w:w="1200" w:type="dxa"/>
            <w:vAlign w:val="bottom"/>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gridSpan w:val="2"/>
          </w:tcPr>
          <w:p>
            <w:pPr>
              <w:jc w:val="center"/>
              <w:ind w:left="47"/>
              <w:spacing w:after="0" w:line="156"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496,321</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Wireless licenses</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22,150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22,150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940" w:type="dxa"/>
            <w:vAlign w:val="bottom"/>
          </w:tcPr>
          <w:p>
            <w:pPr>
              <w:ind w:left="240"/>
              <w:spacing w:after="0"/>
              <w:rPr>
                <w:sz w:val="20"/>
                <w:szCs w:val="20"/>
                <w:color w:val="auto"/>
              </w:rPr>
            </w:pPr>
            <w:r>
              <w:rPr>
                <w:rFonts w:ascii="Arial" w:cs="Arial" w:eastAsia="Arial" w:hAnsi="Arial"/>
                <w:sz w:val="15"/>
                <w:szCs w:val="15"/>
                <w:color w:val="auto"/>
              </w:rPr>
              <w:t>Licensure and accreditation</w:t>
            </w: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7,362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7,862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940" w:type="dxa"/>
            <w:vAlign w:val="bottom"/>
          </w:tcPr>
          <w:p>
            <w:pPr>
              <w:ind w:left="240"/>
              <w:spacing w:after="0"/>
              <w:rPr>
                <w:sz w:val="20"/>
                <w:szCs w:val="20"/>
                <w:color w:val="auto"/>
              </w:rPr>
            </w:pPr>
            <w:r>
              <w:rPr>
                <w:rFonts w:ascii="Arial" w:cs="Arial" w:eastAsia="Arial" w:hAnsi="Arial"/>
                <w:sz w:val="15"/>
                <w:szCs w:val="15"/>
                <w:color w:val="auto"/>
              </w:rPr>
              <w:t>Other</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4,308</w:t>
            </w: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jc w:val="right"/>
              <w:ind w:right="46"/>
              <w:spacing w:after="0" w:line="167" w:lineRule="exact"/>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525,833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gridSpan w:val="2"/>
          </w:tcPr>
          <w:p>
            <w:pPr>
              <w:jc w:val="center"/>
              <w:ind w:left="47"/>
              <w:spacing w:after="0" w:line="167" w:lineRule="exact"/>
              <w:rPr>
                <w:sz w:val="20"/>
                <w:szCs w:val="20"/>
                <w:color w:val="auto"/>
              </w:rPr>
            </w:pPr>
            <w:r>
              <w:rPr>
                <w:rFonts w:ascii="Arial" w:cs="Arial" w:eastAsia="Arial" w:hAnsi="Arial"/>
                <w:sz w:val="15"/>
                <w:szCs w:val="15"/>
                <w:color w:val="auto"/>
              </w:rPr>
              <w:t>$</w:t>
            </w:r>
          </w:p>
        </w:tc>
        <w:tc>
          <w:tcPr>
            <w:tcW w:w="100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530,641</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vMerge w:val="restart"/>
          </w:tcPr>
          <w:p>
            <w:pPr>
              <w:jc w:val="right"/>
              <w:ind w:right="27"/>
              <w:spacing w:after="0"/>
              <w:rPr>
                <w:sz w:val="20"/>
                <w:szCs w:val="20"/>
                <w:color w:val="auto"/>
              </w:rPr>
            </w:pPr>
            <w:r>
              <w:rPr>
                <w:rFonts w:ascii="Arial" w:cs="Arial" w:eastAsia="Arial" w:hAnsi="Arial"/>
                <w:sz w:val="17"/>
                <w:szCs w:val="17"/>
                <w:color w:val="auto"/>
                <w:w w:val="84"/>
              </w:rPr>
              <w:t>11</w:t>
            </w: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6"/>
        </w:trPr>
        <w:tc>
          <w:tcPr>
            <w:tcW w:w="2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9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7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789" w:right="19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6. DEBT</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borrowings consist of the following: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80" w:type="dxa"/>
            <w:vAlign w:val="bottom"/>
          </w:tcPr>
          <w:p>
            <w:pPr>
              <w:jc w:val="right"/>
              <w:ind w:right="428"/>
              <w:spacing w:after="0"/>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12"/>
                <w:szCs w:val="12"/>
                <w:color w:val="auto"/>
              </w:rPr>
            </w:pPr>
          </w:p>
        </w:tc>
        <w:tc>
          <w:tcPr>
            <w:tcW w:w="1180" w:type="dxa"/>
            <w:vAlign w:val="bottom"/>
          </w:tcPr>
          <w:p>
            <w:pPr>
              <w:jc w:val="right"/>
              <w:ind w:right="268"/>
              <w:spacing w:after="0"/>
              <w:rPr>
                <w:sz w:val="20"/>
                <w:szCs w:val="20"/>
                <w:color w:val="auto"/>
              </w:rPr>
            </w:pPr>
            <w:r>
              <w:rPr>
                <w:rFonts w:ascii="Arial" w:cs="Arial" w:eastAsia="Arial" w:hAnsi="Arial"/>
                <w:sz w:val="12"/>
                <w:szCs w:val="12"/>
                <w:color w:val="auto"/>
              </w:rPr>
              <w:t>December 31,</w:t>
            </w:r>
          </w:p>
        </w:tc>
      </w:tr>
      <w:tr>
        <w:trPr>
          <w:trHeight w:val="151"/>
        </w:trPr>
        <w:tc>
          <w:tcPr>
            <w:tcW w:w="8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28"/>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color w:val="auto"/>
              </w:rPr>
              <w:t>2011</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color w:val="auto"/>
              </w:rPr>
              <w:t>7.25% unsecured notes due February 1, 2019</w:t>
            </w:r>
          </w:p>
        </w:tc>
        <w:tc>
          <w:tcPr>
            <w:tcW w:w="28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380" w:type="dxa"/>
            <w:vAlign w:val="bottom"/>
          </w:tcPr>
          <w:p>
            <w:pPr>
              <w:jc w:val="right"/>
              <w:ind w:right="148"/>
              <w:spacing w:after="0" w:line="150" w:lineRule="exact"/>
              <w:rPr>
                <w:sz w:val="20"/>
                <w:szCs w:val="20"/>
                <w:color w:val="auto"/>
              </w:rPr>
            </w:pPr>
            <w:r>
              <w:rPr>
                <w:rFonts w:ascii="Arial" w:cs="Arial" w:eastAsia="Arial" w:hAnsi="Arial"/>
                <w:sz w:val="15"/>
                <w:szCs w:val="15"/>
                <w:b w:val="1"/>
                <w:bCs w:val="1"/>
                <w:color w:val="auto"/>
              </w:rPr>
              <w:t>397,375</w:t>
            </w:r>
          </w:p>
        </w:tc>
        <w:tc>
          <w:tcPr>
            <w:tcW w:w="3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397,065</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Commercial paper borrowings</w:t>
            </w:r>
          </w:p>
        </w:tc>
        <w:tc>
          <w:tcPr>
            <w:tcW w:w="280" w:type="dxa"/>
            <w:vAlign w:val="bottom"/>
          </w:tcPr>
          <w:p>
            <w:pPr>
              <w:spacing w:after="0"/>
              <w:rPr>
                <w:sz w:val="15"/>
                <w:szCs w:val="15"/>
                <w:color w:val="auto"/>
              </w:rPr>
            </w:pPr>
          </w:p>
        </w:tc>
        <w:tc>
          <w:tcPr>
            <w:tcW w:w="1380" w:type="dxa"/>
            <w:vAlign w:val="bottom"/>
          </w:tcPr>
          <w:p>
            <w:pPr>
              <w:jc w:val="right"/>
              <w:ind w:right="148"/>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109,671</w:t>
            </w:r>
          </w:p>
        </w:tc>
      </w:tr>
      <w:tr>
        <w:trPr>
          <w:trHeight w:val="174"/>
        </w:trPr>
        <w:tc>
          <w:tcPr>
            <w:tcW w:w="8240" w:type="dxa"/>
            <w:vAlign w:val="bottom"/>
          </w:tcPr>
          <w:p>
            <w:pPr>
              <w:spacing w:after="0"/>
              <w:rPr>
                <w:sz w:val="20"/>
                <w:szCs w:val="20"/>
                <w:color w:val="auto"/>
              </w:rPr>
            </w:pPr>
            <w:r>
              <w:rPr>
                <w:rFonts w:ascii="Arial" w:cs="Arial" w:eastAsia="Arial" w:hAnsi="Arial"/>
                <w:sz w:val="15"/>
                <w:szCs w:val="15"/>
                <w:color w:val="auto"/>
              </w:rPr>
              <w:t>AUD 50M borrowing</w:t>
            </w:r>
          </w:p>
        </w:tc>
        <w:tc>
          <w:tcPr>
            <w:tcW w:w="280" w:type="dxa"/>
            <w:vAlign w:val="bottom"/>
          </w:tcPr>
          <w:p>
            <w:pPr>
              <w:spacing w:after="0"/>
              <w:rPr>
                <w:sz w:val="15"/>
                <w:szCs w:val="15"/>
                <w:color w:val="auto"/>
              </w:rPr>
            </w:pPr>
          </w:p>
        </w:tc>
        <w:tc>
          <w:tcPr>
            <w:tcW w:w="1380" w:type="dxa"/>
            <w:vAlign w:val="bottom"/>
          </w:tcPr>
          <w:p>
            <w:pPr>
              <w:jc w:val="right"/>
              <w:ind w:right="148"/>
              <w:spacing w:after="0"/>
              <w:rPr>
                <w:sz w:val="20"/>
                <w:szCs w:val="20"/>
                <w:color w:val="auto"/>
              </w:rPr>
            </w:pPr>
            <w:r>
              <w:rPr>
                <w:rFonts w:ascii="Arial" w:cs="Arial" w:eastAsia="Arial" w:hAnsi="Arial"/>
                <w:sz w:val="15"/>
                <w:szCs w:val="15"/>
                <w:b w:val="1"/>
                <w:bCs w:val="1"/>
                <w:color w:val="auto"/>
              </w:rPr>
              <w:t>51,877</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51,012</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Other indebtedness</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rPr>
              <w:t>7,262</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7,464</w:t>
            </w:r>
          </w:p>
        </w:tc>
      </w:tr>
      <w:tr>
        <w:trPr>
          <w:trHeight w:val="150"/>
        </w:trPr>
        <w:tc>
          <w:tcPr>
            <w:tcW w:w="8240" w:type="dxa"/>
            <w:vAlign w:val="bottom"/>
          </w:tcPr>
          <w:p>
            <w:pPr>
              <w:spacing w:after="0" w:line="150" w:lineRule="exact"/>
              <w:rPr>
                <w:sz w:val="20"/>
                <w:szCs w:val="20"/>
                <w:color w:val="auto"/>
              </w:rPr>
            </w:pPr>
            <w:r>
              <w:rPr>
                <w:rFonts w:ascii="Arial" w:cs="Arial" w:eastAsia="Arial" w:hAnsi="Arial"/>
                <w:sz w:val="15"/>
                <w:szCs w:val="15"/>
                <w:b w:val="1"/>
                <w:bCs w:val="1"/>
                <w:color w:val="auto"/>
              </w:rPr>
              <w:t>Total Debt</w:t>
            </w:r>
          </w:p>
        </w:tc>
        <w:tc>
          <w:tcPr>
            <w:tcW w:w="280" w:type="dxa"/>
            <w:vAlign w:val="bottom"/>
          </w:tcPr>
          <w:p>
            <w:pPr>
              <w:spacing w:after="0"/>
              <w:rPr>
                <w:sz w:val="13"/>
                <w:szCs w:val="13"/>
                <w:color w:val="auto"/>
              </w:rPr>
            </w:pPr>
          </w:p>
        </w:tc>
        <w:tc>
          <w:tcPr>
            <w:tcW w:w="1380" w:type="dxa"/>
            <w:vAlign w:val="bottom"/>
          </w:tcPr>
          <w:p>
            <w:pPr>
              <w:jc w:val="right"/>
              <w:ind w:right="148"/>
              <w:spacing w:after="0" w:line="150" w:lineRule="exact"/>
              <w:rPr>
                <w:sz w:val="20"/>
                <w:szCs w:val="20"/>
                <w:color w:val="auto"/>
              </w:rPr>
            </w:pPr>
            <w:r>
              <w:rPr>
                <w:rFonts w:ascii="Arial" w:cs="Arial" w:eastAsia="Arial" w:hAnsi="Arial"/>
                <w:sz w:val="15"/>
                <w:szCs w:val="15"/>
                <w:b w:val="1"/>
                <w:bCs w:val="1"/>
                <w:color w:val="auto"/>
              </w:rPr>
              <w:t>456,514</w:t>
            </w:r>
          </w:p>
        </w:tc>
        <w:tc>
          <w:tcPr>
            <w:tcW w:w="340" w:type="dxa"/>
            <w:vAlign w:val="bottom"/>
          </w:tcPr>
          <w:p>
            <w:pPr>
              <w:spacing w:after="0"/>
              <w:rPr>
                <w:sz w:val="13"/>
                <w:szCs w:val="13"/>
                <w:color w:val="auto"/>
              </w:rPr>
            </w:pP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565,212</w:t>
            </w:r>
          </w:p>
        </w:tc>
      </w:tr>
      <w:tr>
        <w:trPr>
          <w:trHeight w:val="190"/>
        </w:trPr>
        <w:tc>
          <w:tcPr>
            <w:tcW w:w="8240" w:type="dxa"/>
            <w:vAlign w:val="bottom"/>
          </w:tcPr>
          <w:p>
            <w:pPr>
              <w:spacing w:after="0"/>
              <w:rPr>
                <w:sz w:val="20"/>
                <w:szCs w:val="20"/>
                <w:color w:val="auto"/>
              </w:rPr>
            </w:pPr>
            <w:r>
              <w:rPr>
                <w:rFonts w:ascii="Arial" w:cs="Arial" w:eastAsia="Arial" w:hAnsi="Arial"/>
                <w:sz w:val="15"/>
                <w:szCs w:val="15"/>
                <w:color w:val="auto"/>
              </w:rPr>
              <w:t>Less: current portion</w:t>
            </w: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48"/>
              <w:spacing w:after="0"/>
              <w:rPr>
                <w:sz w:val="20"/>
                <w:szCs w:val="20"/>
                <w:color w:val="auto"/>
              </w:rPr>
            </w:pPr>
            <w:r>
              <w:rPr>
                <w:rFonts w:ascii="Arial" w:cs="Arial" w:eastAsia="Arial" w:hAnsi="Arial"/>
                <w:sz w:val="15"/>
                <w:szCs w:val="15"/>
                <w:b w:val="1"/>
                <w:bCs w:val="1"/>
                <w:color w:val="auto"/>
              </w:rPr>
              <w:t>(3,043)</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(112,983)</w:t>
            </w:r>
          </w:p>
        </w:tc>
      </w:tr>
      <w:tr>
        <w:trPr>
          <w:trHeight w:val="166"/>
        </w:trPr>
        <w:tc>
          <w:tcPr>
            <w:tcW w:w="8240" w:type="dxa"/>
            <w:vAlign w:val="bottom"/>
          </w:tcPr>
          <w:p>
            <w:pPr>
              <w:spacing w:after="0" w:line="167" w:lineRule="exact"/>
              <w:rPr>
                <w:sz w:val="20"/>
                <w:szCs w:val="20"/>
                <w:color w:val="auto"/>
              </w:rPr>
            </w:pPr>
            <w:r>
              <w:rPr>
                <w:rFonts w:ascii="Arial" w:cs="Arial" w:eastAsia="Arial" w:hAnsi="Arial"/>
                <w:sz w:val="15"/>
                <w:szCs w:val="15"/>
                <w:b w:val="1"/>
                <w:bCs w:val="1"/>
                <w:color w:val="auto"/>
              </w:rPr>
              <w:t>Total Long-Term Debt</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380" w:type="dxa"/>
            <w:vAlign w:val="bottom"/>
            <w:tcBorders>
              <w:bottom w:val="single" w:sz="8" w:color="auto"/>
            </w:tcBorders>
          </w:tcPr>
          <w:p>
            <w:pPr>
              <w:jc w:val="right"/>
              <w:ind w:right="148"/>
              <w:spacing w:after="0" w:line="167" w:lineRule="exact"/>
              <w:rPr>
                <w:sz w:val="20"/>
                <w:szCs w:val="20"/>
                <w:color w:val="auto"/>
              </w:rPr>
            </w:pPr>
            <w:r>
              <w:rPr>
                <w:rFonts w:ascii="Arial" w:cs="Arial" w:eastAsia="Arial" w:hAnsi="Arial"/>
                <w:sz w:val="15"/>
                <w:szCs w:val="15"/>
                <w:b w:val="1"/>
                <w:bCs w:val="1"/>
                <w:color w:val="auto"/>
              </w:rPr>
              <w:t>453,471</w:t>
            </w:r>
          </w:p>
        </w:tc>
        <w:tc>
          <w:tcPr>
            <w:tcW w:w="3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452,229</w:t>
            </w:r>
          </w:p>
        </w:tc>
      </w:tr>
      <w:tr>
        <w:trPr>
          <w:trHeight w:val="20"/>
        </w:trPr>
        <w:tc>
          <w:tcPr>
            <w:tcW w:w="8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Company’s other indebtedness at September 30, 2012 and December 31, 2011 is at interest rates from 0% to 6% and matures from 2012 to 2017 and 2012 to 2016, respectively.</w:t>
      </w:r>
    </w:p>
    <w:p>
      <w:pPr>
        <w:spacing w:after="0" w:line="176" w:lineRule="exact"/>
        <w:rPr>
          <w:sz w:val="20"/>
          <w:szCs w:val="20"/>
          <w:color w:val="auto"/>
        </w:rPr>
      </w:pPr>
    </w:p>
    <w:p>
      <w:pPr>
        <w:ind w:right="260"/>
        <w:spacing w:after="0" w:line="233" w:lineRule="auto"/>
        <w:rPr>
          <w:sz w:val="20"/>
          <w:szCs w:val="20"/>
          <w:color w:val="auto"/>
        </w:rPr>
      </w:pPr>
      <w:r>
        <w:rPr>
          <w:rFonts w:ascii="Arial" w:cs="Arial" w:eastAsia="Arial" w:hAnsi="Arial"/>
          <w:sz w:val="17"/>
          <w:szCs w:val="17"/>
          <w:color w:val="auto"/>
        </w:rPr>
        <w:t>During the three months ended September 30, 2012 and October 2, 2011, the Company had average borrowings outstanding of approximately $456.3 million and $417.6 million, respectively, at average annual interest rates of approximately 7.0% and 7.2%. During the three months ended September 30, 2012 and October 2, 2011, the Company incurred net interest expense of $8.1 million and $7.7 million, respectively.</w:t>
      </w:r>
    </w:p>
    <w:p>
      <w:pPr>
        <w:spacing w:after="0" w:line="175" w:lineRule="exact"/>
        <w:rPr>
          <w:sz w:val="20"/>
          <w:szCs w:val="20"/>
          <w:color w:val="auto"/>
        </w:rPr>
      </w:pPr>
    </w:p>
    <w:p>
      <w:pPr>
        <w:ind w:right="320"/>
        <w:spacing w:after="0" w:line="233" w:lineRule="auto"/>
        <w:rPr>
          <w:sz w:val="20"/>
          <w:szCs w:val="20"/>
          <w:color w:val="auto"/>
        </w:rPr>
      </w:pPr>
      <w:r>
        <w:rPr>
          <w:rFonts w:ascii="Arial" w:cs="Arial" w:eastAsia="Arial" w:hAnsi="Arial"/>
          <w:sz w:val="17"/>
          <w:szCs w:val="17"/>
          <w:color w:val="auto"/>
        </w:rPr>
        <w:t>During the nine months ended September 30, 2012 and October 2, 2011, the Company had average borrowings outstanding of approximately $467.3 million and $406.9 million, respectively, at average annual interest rates of approximately 7.0% and 7.2%. During the nine months ended September 30, 2012 and October 2, 2011, the Company incurred net interest expense of $24.4 million and $21.6 million, respectively.</w:t>
      </w:r>
    </w:p>
    <w:p>
      <w:pPr>
        <w:spacing w:after="0" w:line="175"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At September 30, 2012, the fair value of the Company’s 7.25% unsecured notes, based on quoted market prices, totaled $485.2 million, compared with the carrying amount of $397.4 million. At December 31, 2011, the fair value of the Company’s 7.25% unsecured notes, based on quoted market prices, totaled $460.5 million, compared with the carrying amount of $397.1 million. The carrying value of the Company’s other unsecured debt at September 30, 2012 approximates fair value.</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EARNINGS PER SHARE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Company’s earnings per share from continuing operations (basic and diluted) are presented below:</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8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3"/>
          </w:tcPr>
          <w:p>
            <w:pPr>
              <w:jc w:val="right"/>
              <w:ind w:right="848"/>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628"/>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14"/>
        </w:trPr>
        <w:tc>
          <w:tcPr>
            <w:tcW w:w="5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40" w:type="dxa"/>
            <w:vAlign w:val="bottom"/>
          </w:tcPr>
          <w:p>
            <w:pPr>
              <w:jc w:val="right"/>
              <w:ind w:right="308"/>
              <w:spacing w:after="0" w:line="114" w:lineRule="exact"/>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9"/>
                <w:szCs w:val="9"/>
                <w:color w:val="auto"/>
              </w:rPr>
            </w:pPr>
          </w:p>
        </w:tc>
        <w:tc>
          <w:tcPr>
            <w:tcW w:w="1160" w:type="dxa"/>
            <w:vAlign w:val="bottom"/>
          </w:tcPr>
          <w:p>
            <w:pPr>
              <w:jc w:val="right"/>
              <w:ind w:right="408"/>
              <w:spacing w:after="0" w:line="114" w:lineRule="exact"/>
              <w:rPr>
                <w:sz w:val="20"/>
                <w:szCs w:val="20"/>
                <w:color w:val="auto"/>
              </w:rPr>
            </w:pPr>
            <w:r>
              <w:rPr>
                <w:rFonts w:ascii="Arial" w:cs="Arial" w:eastAsia="Arial" w:hAnsi="Arial"/>
                <w:sz w:val="12"/>
                <w:szCs w:val="12"/>
                <w:color w:val="auto"/>
              </w:rPr>
              <w:t>October 2,</w:t>
            </w:r>
          </w:p>
        </w:tc>
        <w:tc>
          <w:tcPr>
            <w:tcW w:w="1360" w:type="dxa"/>
            <w:vAlign w:val="bottom"/>
            <w:gridSpan w:val="2"/>
          </w:tcPr>
          <w:p>
            <w:pPr>
              <w:jc w:val="right"/>
              <w:ind w:right="228"/>
              <w:spacing w:after="0" w:line="114"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9"/>
                <w:szCs w:val="9"/>
                <w:color w:val="auto"/>
              </w:rPr>
            </w:pPr>
          </w:p>
        </w:tc>
        <w:tc>
          <w:tcPr>
            <w:tcW w:w="960" w:type="dxa"/>
            <w:vAlign w:val="bottom"/>
          </w:tcPr>
          <w:p>
            <w:pPr>
              <w:jc w:val="right"/>
              <w:ind w:right="248"/>
              <w:spacing w:after="0" w:line="114" w:lineRule="exact"/>
              <w:rPr>
                <w:sz w:val="20"/>
                <w:szCs w:val="20"/>
                <w:color w:val="auto"/>
              </w:rPr>
            </w:pPr>
            <w:r>
              <w:rPr>
                <w:rFonts w:ascii="Arial" w:cs="Arial" w:eastAsia="Arial" w:hAnsi="Arial"/>
                <w:sz w:val="12"/>
                <w:szCs w:val="12"/>
                <w:color w:val="auto"/>
              </w:rPr>
              <w:t>October 2,</w:t>
            </w:r>
          </w:p>
        </w:tc>
        <w:tc>
          <w:tcPr>
            <w:tcW w:w="0" w:type="dxa"/>
            <w:vAlign w:val="bottom"/>
          </w:tcPr>
          <w:p>
            <w:pPr>
              <w:spacing w:after="0"/>
              <w:rPr>
                <w:sz w:val="1"/>
                <w:szCs w:val="1"/>
                <w:color w:val="auto"/>
              </w:rPr>
            </w:pPr>
          </w:p>
        </w:tc>
      </w:tr>
      <w:tr>
        <w:trPr>
          <w:trHeight w:val="151"/>
        </w:trPr>
        <w:tc>
          <w:tcPr>
            <w:tcW w:w="5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 except per share amounts)</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2"/>
                <w:szCs w:val="12"/>
                <w:b w:val="1"/>
                <w:bCs w:val="1"/>
                <w:color w:val="auto"/>
              </w:rPr>
              <w:t>2012</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5860" w:type="dxa"/>
            <w:vAlign w:val="bottom"/>
          </w:tcPr>
          <w:p>
            <w:pPr>
              <w:spacing w:after="0" w:line="168" w:lineRule="exact"/>
              <w:rPr>
                <w:sz w:val="20"/>
                <w:szCs w:val="20"/>
                <w:color w:val="auto"/>
              </w:rPr>
            </w:pPr>
            <w:r>
              <w:rPr>
                <w:rFonts w:ascii="Arial" w:cs="Arial" w:eastAsia="Arial" w:hAnsi="Arial"/>
                <w:sz w:val="15"/>
                <w:szCs w:val="15"/>
                <w:color w:val="auto"/>
              </w:rPr>
              <w:t>Income from continuing operations attributable to The</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44,742</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93,480</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60" w:type="dxa"/>
            <w:vAlign w:val="bottom"/>
          </w:tcPr>
          <w:p>
            <w:pPr>
              <w:ind w:left="240"/>
              <w:spacing w:after="0" w:line="156" w:lineRule="exact"/>
              <w:rPr>
                <w:sz w:val="20"/>
                <w:szCs w:val="20"/>
                <w:color w:val="auto"/>
              </w:rPr>
            </w:pPr>
            <w:r>
              <w:rPr>
                <w:rFonts w:ascii="Arial" w:cs="Arial" w:eastAsia="Arial" w:hAnsi="Arial"/>
                <w:sz w:val="15"/>
                <w:szCs w:val="15"/>
                <w:color w:val="auto"/>
              </w:rPr>
              <w:t>Washington Post Company common stockholders</w:t>
            </w:r>
          </w:p>
        </w:tc>
        <w:tc>
          <w:tcPr>
            <w:tcW w:w="26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0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68"/>
              <w:spacing w:after="0" w:line="156" w:lineRule="exact"/>
              <w:rPr>
                <w:sz w:val="20"/>
                <w:szCs w:val="20"/>
                <w:color w:val="auto"/>
              </w:rPr>
            </w:pPr>
            <w:r>
              <w:rPr>
                <w:rFonts w:ascii="Arial" w:cs="Arial" w:eastAsia="Arial" w:hAnsi="Arial"/>
                <w:sz w:val="15"/>
                <w:szCs w:val="15"/>
                <w:color w:val="auto"/>
              </w:rPr>
              <w:t>12,580</w:t>
            </w:r>
          </w:p>
        </w:tc>
        <w:tc>
          <w:tcPr>
            <w:tcW w:w="36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6" w:lineRule="exact"/>
              <w:rPr>
                <w:sz w:val="20"/>
                <w:szCs w:val="20"/>
                <w:color w:val="auto"/>
              </w:rPr>
            </w:pPr>
            <w:r>
              <w:rPr>
                <w:rFonts w:ascii="Arial" w:cs="Arial" w:eastAsia="Arial" w:hAnsi="Arial"/>
                <w:sz w:val="15"/>
                <w:szCs w:val="15"/>
                <w:color w:val="auto"/>
              </w:rPr>
              <w:t>83,281</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20"/>
                <w:szCs w:val="20"/>
                <w:color w:val="auto"/>
              </w:rPr>
            </w:pPr>
            <w:r>
              <w:rPr>
                <w:rFonts w:ascii="Arial" w:cs="Arial" w:eastAsia="Arial" w:hAnsi="Arial"/>
                <w:sz w:val="15"/>
                <w:szCs w:val="15"/>
                <w:color w:val="auto"/>
              </w:rPr>
              <w:t>Less: Amount attributable to participating securities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(888)</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(190)</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(1,830)</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20"/>
                <w:szCs w:val="20"/>
                <w:color w:val="auto"/>
              </w:rPr>
            </w:pPr>
            <w:r>
              <w:rPr>
                <w:rFonts w:ascii="Arial" w:cs="Arial" w:eastAsia="Arial" w:hAnsi="Arial"/>
                <w:sz w:val="15"/>
                <w:szCs w:val="15"/>
                <w:color w:val="auto"/>
              </w:rPr>
              <w:t>Basic income from continuing operations attributable to</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43,854</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color w:val="auto"/>
              </w:rPr>
              <w:t>12,390</w:t>
            </w: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91,650</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82,446</w:t>
            </w:r>
          </w:p>
        </w:tc>
        <w:tc>
          <w:tcPr>
            <w:tcW w:w="0" w:type="dxa"/>
            <w:vAlign w:val="bottom"/>
          </w:tcPr>
          <w:p>
            <w:pPr>
              <w:spacing w:after="0"/>
              <w:rPr>
                <w:sz w:val="1"/>
                <w:szCs w:val="1"/>
                <w:color w:val="auto"/>
              </w:rPr>
            </w:pPr>
          </w:p>
        </w:tc>
      </w:tr>
      <w:tr>
        <w:trPr>
          <w:trHeight w:val="172"/>
        </w:trPr>
        <w:tc>
          <w:tcPr>
            <w:tcW w:w="5860" w:type="dxa"/>
            <w:vAlign w:val="bottom"/>
          </w:tcPr>
          <w:p>
            <w:pPr>
              <w:ind w:left="24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2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60" w:type="dxa"/>
            <w:vAlign w:val="bottom"/>
          </w:tcPr>
          <w:p>
            <w:pPr>
              <w:spacing w:after="0"/>
              <w:rPr>
                <w:sz w:val="20"/>
                <w:szCs w:val="20"/>
                <w:color w:val="auto"/>
              </w:rPr>
            </w:pPr>
            <w:r>
              <w:rPr>
                <w:rFonts w:ascii="Arial" w:cs="Arial" w:eastAsia="Arial" w:hAnsi="Arial"/>
                <w:sz w:val="15"/>
                <w:szCs w:val="15"/>
                <w:color w:val="auto"/>
              </w:rPr>
              <w:t>Plus: Amount attributable to participating securities</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888</w:t>
            </w: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190</w:t>
            </w:r>
          </w:p>
        </w:tc>
        <w:tc>
          <w:tcPr>
            <w:tcW w:w="3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1,830</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835</w:t>
            </w:r>
          </w:p>
        </w:tc>
        <w:tc>
          <w:tcPr>
            <w:tcW w:w="0" w:type="dxa"/>
            <w:vAlign w:val="bottom"/>
          </w:tcPr>
          <w:p>
            <w:pPr>
              <w:spacing w:after="0"/>
              <w:rPr>
                <w:sz w:val="1"/>
                <w:szCs w:val="1"/>
                <w:color w:val="auto"/>
              </w:rPr>
            </w:pPr>
          </w:p>
        </w:tc>
      </w:tr>
      <w:tr>
        <w:trPr>
          <w:trHeight w:val="173"/>
        </w:trPr>
        <w:tc>
          <w:tcPr>
            <w:tcW w:w="5860" w:type="dxa"/>
            <w:vAlign w:val="bottom"/>
          </w:tcPr>
          <w:p>
            <w:pPr>
              <w:spacing w:after="0"/>
              <w:rPr>
                <w:sz w:val="20"/>
                <w:szCs w:val="20"/>
                <w:color w:val="auto"/>
              </w:rPr>
            </w:pPr>
            <w:r>
              <w:rPr>
                <w:rFonts w:ascii="Arial" w:cs="Arial" w:eastAsia="Arial" w:hAnsi="Arial"/>
                <w:sz w:val="15"/>
                <w:szCs w:val="15"/>
                <w:color w:val="auto"/>
              </w:rPr>
              <w:t>Diluted income from continuing operations attributable to</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44,742</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color w:val="auto"/>
              </w:rPr>
              <w:t>12,580</w:t>
            </w: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93,480</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83,281</w:t>
            </w:r>
          </w:p>
        </w:tc>
        <w:tc>
          <w:tcPr>
            <w:tcW w:w="0" w:type="dxa"/>
            <w:vAlign w:val="bottom"/>
          </w:tcPr>
          <w:p>
            <w:pPr>
              <w:spacing w:after="0"/>
              <w:rPr>
                <w:sz w:val="1"/>
                <w:szCs w:val="1"/>
                <w:color w:val="auto"/>
              </w:rPr>
            </w:pPr>
          </w:p>
        </w:tc>
      </w:tr>
      <w:tr>
        <w:trPr>
          <w:trHeight w:val="172"/>
        </w:trPr>
        <w:tc>
          <w:tcPr>
            <w:tcW w:w="5860" w:type="dxa"/>
            <w:vAlign w:val="bottom"/>
          </w:tcPr>
          <w:p>
            <w:pPr>
              <w:ind w:left="240"/>
              <w:spacing w:after="0" w:line="167" w:lineRule="exact"/>
              <w:rPr>
                <w:sz w:val="20"/>
                <w:szCs w:val="20"/>
                <w:color w:val="auto"/>
              </w:rPr>
            </w:pPr>
            <w:r>
              <w:rPr>
                <w:rFonts w:ascii="Arial" w:cs="Arial" w:eastAsia="Arial" w:hAnsi="Arial"/>
                <w:sz w:val="15"/>
                <w:szCs w:val="15"/>
                <w:color w:val="auto"/>
              </w:rPr>
              <w:t>The Washington Post Company common stockholders</w:t>
            </w:r>
          </w:p>
        </w:tc>
        <w:tc>
          <w:tcPr>
            <w:tcW w:w="2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60" w:type="dxa"/>
            <w:vAlign w:val="bottom"/>
          </w:tcPr>
          <w:p>
            <w:pPr>
              <w:spacing w:after="0"/>
              <w:rPr>
                <w:sz w:val="20"/>
                <w:szCs w:val="20"/>
                <w:color w:val="auto"/>
              </w:rPr>
            </w:pPr>
            <w:r>
              <w:rPr>
                <w:rFonts w:ascii="Arial" w:cs="Arial" w:eastAsia="Arial" w:hAnsi="Arial"/>
                <w:sz w:val="15"/>
                <w:szCs w:val="15"/>
                <w:color w:val="auto"/>
              </w:rPr>
              <w:t>Basic weighted average shares outstanding</w:t>
            </w:r>
          </w:p>
        </w:tc>
        <w:tc>
          <w:tcPr>
            <w:tcW w:w="260" w:type="dxa"/>
            <w:vAlign w:val="bottom"/>
          </w:tcPr>
          <w:p>
            <w:pPr>
              <w:spacing w:after="0"/>
              <w:rPr>
                <w:sz w:val="24"/>
                <w:szCs w:val="24"/>
                <w:color w:val="auto"/>
              </w:rPr>
            </w:pPr>
          </w:p>
        </w:tc>
        <w:tc>
          <w:tcPr>
            <w:tcW w:w="1240" w:type="dxa"/>
            <w:vAlign w:val="bottom"/>
          </w:tcPr>
          <w:p>
            <w:pPr>
              <w:jc w:val="right"/>
              <w:ind w:right="88"/>
              <w:spacing w:after="0"/>
              <w:rPr>
                <w:sz w:val="20"/>
                <w:szCs w:val="20"/>
                <w:color w:val="auto"/>
              </w:rPr>
            </w:pPr>
            <w:r>
              <w:rPr>
                <w:rFonts w:ascii="Arial" w:cs="Arial" w:eastAsia="Arial" w:hAnsi="Arial"/>
                <w:sz w:val="15"/>
                <w:szCs w:val="15"/>
                <w:b w:val="1"/>
                <w:bCs w:val="1"/>
                <w:color w:val="auto"/>
              </w:rPr>
              <w:t>7,272</w:t>
            </w:r>
          </w:p>
        </w:tc>
        <w:tc>
          <w:tcPr>
            <w:tcW w:w="300" w:type="dxa"/>
            <w:vAlign w:val="bottom"/>
          </w:tcPr>
          <w:p>
            <w:pPr>
              <w:spacing w:after="0"/>
              <w:rPr>
                <w:sz w:val="24"/>
                <w:szCs w:val="24"/>
                <w:color w:val="auto"/>
              </w:rPr>
            </w:pPr>
          </w:p>
        </w:tc>
        <w:tc>
          <w:tcPr>
            <w:tcW w:w="1160" w:type="dxa"/>
            <w:vAlign w:val="bottom"/>
          </w:tcPr>
          <w:p>
            <w:pPr>
              <w:jc w:val="right"/>
              <w:ind w:right="68"/>
              <w:spacing w:after="0"/>
              <w:rPr>
                <w:sz w:val="20"/>
                <w:szCs w:val="20"/>
                <w:color w:val="auto"/>
              </w:rPr>
            </w:pPr>
            <w:r>
              <w:rPr>
                <w:rFonts w:ascii="Arial" w:cs="Arial" w:eastAsia="Arial" w:hAnsi="Arial"/>
                <w:sz w:val="15"/>
                <w:szCs w:val="15"/>
                <w:color w:val="auto"/>
              </w:rPr>
              <w:t>7,802</w:t>
            </w:r>
          </w:p>
        </w:tc>
        <w:tc>
          <w:tcPr>
            <w:tcW w:w="360" w:type="dxa"/>
            <w:vAlign w:val="bottom"/>
          </w:tcPr>
          <w:p>
            <w:pPr>
              <w:spacing w:after="0"/>
              <w:rPr>
                <w:sz w:val="24"/>
                <w:szCs w:val="24"/>
                <w:color w:val="auto"/>
              </w:rPr>
            </w:pPr>
          </w:p>
        </w:tc>
        <w:tc>
          <w:tcPr>
            <w:tcW w:w="1000" w:type="dxa"/>
            <w:vAlign w:val="bottom"/>
          </w:tcPr>
          <w:p>
            <w:pPr>
              <w:jc w:val="right"/>
              <w:ind w:right="68"/>
              <w:spacing w:after="0"/>
              <w:rPr>
                <w:sz w:val="20"/>
                <w:szCs w:val="20"/>
                <w:color w:val="auto"/>
              </w:rPr>
            </w:pPr>
            <w:r>
              <w:rPr>
                <w:rFonts w:ascii="Arial" w:cs="Arial" w:eastAsia="Arial" w:hAnsi="Arial"/>
                <w:sz w:val="15"/>
                <w:szCs w:val="15"/>
                <w:b w:val="1"/>
                <w:bCs w:val="1"/>
                <w:color w:val="auto"/>
              </w:rPr>
              <w:t>7,405</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7,900</w:t>
            </w:r>
          </w:p>
        </w:tc>
        <w:tc>
          <w:tcPr>
            <w:tcW w:w="0" w:type="dxa"/>
            <w:vAlign w:val="bottom"/>
          </w:tcPr>
          <w:p>
            <w:pPr>
              <w:spacing w:after="0"/>
              <w:rPr>
                <w:sz w:val="1"/>
                <w:szCs w:val="1"/>
                <w:color w:val="auto"/>
              </w:rPr>
            </w:pPr>
          </w:p>
        </w:tc>
      </w:tr>
      <w:tr>
        <w:trPr>
          <w:trHeight w:val="190"/>
        </w:trPr>
        <w:tc>
          <w:tcPr>
            <w:tcW w:w="5860" w:type="dxa"/>
            <w:vAlign w:val="bottom"/>
          </w:tcPr>
          <w:p>
            <w:pPr>
              <w:spacing w:after="0"/>
              <w:rPr>
                <w:sz w:val="20"/>
                <w:szCs w:val="20"/>
                <w:color w:val="auto"/>
              </w:rPr>
            </w:pPr>
            <w:r>
              <w:rPr>
                <w:rFonts w:ascii="Arial" w:cs="Arial" w:eastAsia="Arial" w:hAnsi="Arial"/>
                <w:sz w:val="15"/>
                <w:szCs w:val="15"/>
                <w:color w:val="auto"/>
              </w:rPr>
              <w:t>Plus: Effect of dilutive shares related to stock options and restricted stock</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5"/>
                <w:szCs w:val="15"/>
                <w:b w:val="1"/>
                <w:bCs w:val="1"/>
                <w:color w:val="auto"/>
              </w:rPr>
              <w:t>104</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color w:val="auto"/>
              </w:rPr>
              <w:t>81</w:t>
            </w: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5"/>
                <w:szCs w:val="15"/>
                <w:b w:val="1"/>
                <w:bCs w:val="1"/>
                <w:color w:val="auto"/>
              </w:rPr>
              <w:t>103</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w:t>
            </w:r>
          </w:p>
        </w:tc>
        <w:tc>
          <w:tcPr>
            <w:tcW w:w="0" w:type="dxa"/>
            <w:vAlign w:val="bottom"/>
          </w:tcPr>
          <w:p>
            <w:pPr>
              <w:spacing w:after="0"/>
              <w:rPr>
                <w:sz w:val="1"/>
                <w:szCs w:val="1"/>
                <w:color w:val="auto"/>
              </w:rPr>
            </w:pPr>
          </w:p>
        </w:tc>
      </w:tr>
      <w:tr>
        <w:trPr>
          <w:trHeight w:val="166"/>
        </w:trPr>
        <w:tc>
          <w:tcPr>
            <w:tcW w:w="5860" w:type="dxa"/>
            <w:vAlign w:val="bottom"/>
          </w:tcPr>
          <w:p>
            <w:pPr>
              <w:spacing w:after="0" w:line="167" w:lineRule="exact"/>
              <w:rPr>
                <w:sz w:val="20"/>
                <w:szCs w:val="20"/>
                <w:color w:val="auto"/>
              </w:rPr>
            </w:pPr>
            <w:r>
              <w:rPr>
                <w:rFonts w:ascii="Arial" w:cs="Arial" w:eastAsia="Arial" w:hAnsi="Arial"/>
                <w:sz w:val="15"/>
                <w:szCs w:val="15"/>
                <w:color w:val="auto"/>
              </w:rPr>
              <w:t>Diluted weighted average shares outstanding</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88"/>
              <w:spacing w:after="0" w:line="167" w:lineRule="exact"/>
              <w:rPr>
                <w:sz w:val="20"/>
                <w:szCs w:val="20"/>
                <w:color w:val="auto"/>
              </w:rPr>
            </w:pPr>
            <w:r>
              <w:rPr>
                <w:rFonts w:ascii="Arial" w:cs="Arial" w:eastAsia="Arial" w:hAnsi="Arial"/>
                <w:sz w:val="15"/>
                <w:szCs w:val="15"/>
                <w:b w:val="1"/>
                <w:bCs w:val="1"/>
                <w:color w:val="auto"/>
              </w:rPr>
              <w:t>7,376</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color w:val="auto"/>
              </w:rPr>
              <w:t>7,883</w:t>
            </w:r>
          </w:p>
        </w:tc>
        <w:tc>
          <w:tcPr>
            <w:tcW w:w="3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8"/>
              <w:spacing w:after="0" w:line="167" w:lineRule="exact"/>
              <w:rPr>
                <w:sz w:val="20"/>
                <w:szCs w:val="20"/>
                <w:color w:val="auto"/>
              </w:rPr>
            </w:pPr>
            <w:r>
              <w:rPr>
                <w:rFonts w:ascii="Arial" w:cs="Arial" w:eastAsia="Arial" w:hAnsi="Arial"/>
                <w:sz w:val="15"/>
                <w:szCs w:val="15"/>
                <w:b w:val="1"/>
                <w:bCs w:val="1"/>
                <w:color w:val="auto"/>
              </w:rPr>
              <w:t>7,508</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7,979</w:t>
            </w:r>
          </w:p>
        </w:tc>
        <w:tc>
          <w:tcPr>
            <w:tcW w:w="0" w:type="dxa"/>
            <w:vAlign w:val="bottom"/>
          </w:tcPr>
          <w:p>
            <w:pPr>
              <w:spacing w:after="0"/>
              <w:rPr>
                <w:sz w:val="1"/>
                <w:szCs w:val="1"/>
                <w:color w:val="auto"/>
              </w:rPr>
            </w:pPr>
          </w:p>
        </w:tc>
      </w:tr>
      <w:tr>
        <w:trPr>
          <w:trHeight w:val="20"/>
        </w:trPr>
        <w:tc>
          <w:tcPr>
            <w:tcW w:w="5860" w:type="dxa"/>
            <w:vAlign w:val="bottom"/>
            <w:vMerge w:val="restart"/>
          </w:tcPr>
          <w:p>
            <w:pPr>
              <w:spacing w:after="0"/>
              <w:rPr>
                <w:sz w:val="20"/>
                <w:szCs w:val="20"/>
                <w:color w:val="auto"/>
              </w:rPr>
            </w:pPr>
            <w:r>
              <w:rPr>
                <w:rFonts w:ascii="Arial" w:cs="Arial" w:eastAsia="Arial" w:hAnsi="Arial"/>
                <w:sz w:val="15"/>
                <w:szCs w:val="15"/>
                <w:b w:val="1"/>
                <w:bCs w:val="1"/>
                <w:color w:val="auto"/>
              </w:rPr>
              <w:t>Income Per Share from Continuing Operations Attributable</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8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5860" w:type="dxa"/>
            <w:vAlign w:val="bottom"/>
          </w:tcPr>
          <w:p>
            <w:pPr>
              <w:ind w:left="240"/>
              <w:spacing w:after="0"/>
              <w:rPr>
                <w:sz w:val="20"/>
                <w:szCs w:val="20"/>
                <w:color w:val="auto"/>
              </w:rPr>
            </w:pPr>
            <w:r>
              <w:rPr>
                <w:rFonts w:ascii="Arial" w:cs="Arial" w:eastAsia="Arial" w:hAnsi="Arial"/>
                <w:sz w:val="15"/>
                <w:szCs w:val="15"/>
                <w:b w:val="1"/>
                <w:bCs w:val="1"/>
                <w:color w:val="auto"/>
              </w:rPr>
              <w:t>to The Washington Post Company Common Stockholders:</w:t>
            </w:r>
          </w:p>
        </w:tc>
        <w:tc>
          <w:tcPr>
            <w:tcW w:w="2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88"/>
              <w:spacing w:after="0"/>
              <w:rPr>
                <w:sz w:val="20"/>
                <w:szCs w:val="20"/>
                <w:color w:val="auto"/>
              </w:rPr>
            </w:pPr>
            <w:r>
              <w:rPr>
                <w:rFonts w:ascii="Arial" w:cs="Arial" w:eastAsia="Arial" w:hAnsi="Arial"/>
                <w:sz w:val="15"/>
                <w:szCs w:val="15"/>
                <w:b w:val="1"/>
                <w:bCs w:val="1"/>
                <w:color w:val="auto"/>
              </w:rPr>
              <w:t>6.03</w:t>
            </w:r>
          </w:p>
        </w:tc>
        <w:tc>
          <w:tcPr>
            <w:tcW w:w="300" w:type="dxa"/>
            <w:vAlign w:val="bottom"/>
            <w:vMerge w:val="restart"/>
          </w:tcPr>
          <w:p>
            <w:pPr>
              <w:jc w:val="right"/>
              <w:ind w:right="6"/>
              <w:spacing w:after="0"/>
              <w:rPr>
                <w:sz w:val="20"/>
                <w:szCs w:val="20"/>
                <w:color w:val="auto"/>
              </w:rPr>
            </w:pPr>
            <w:r>
              <w:rPr>
                <w:rFonts w:ascii="Arial" w:cs="Arial" w:eastAsia="Arial" w:hAnsi="Arial"/>
                <w:sz w:val="15"/>
                <w:szCs w:val="15"/>
                <w:color w:val="auto"/>
              </w:rPr>
              <w:t>$</w:t>
            </w:r>
          </w:p>
        </w:tc>
        <w:tc>
          <w:tcPr>
            <w:tcW w:w="1160" w:type="dxa"/>
            <w:vAlign w:val="bottom"/>
            <w:vMerge w:val="restart"/>
          </w:tcPr>
          <w:p>
            <w:pPr>
              <w:jc w:val="right"/>
              <w:ind w:right="68"/>
              <w:spacing w:after="0"/>
              <w:rPr>
                <w:sz w:val="20"/>
                <w:szCs w:val="20"/>
                <w:color w:val="auto"/>
              </w:rPr>
            </w:pPr>
            <w:r>
              <w:rPr>
                <w:rFonts w:ascii="Arial" w:cs="Arial" w:eastAsia="Arial" w:hAnsi="Arial"/>
                <w:sz w:val="15"/>
                <w:szCs w:val="15"/>
                <w:color w:val="auto"/>
              </w:rPr>
              <w:t>1.59</w:t>
            </w: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8"/>
              <w:spacing w:after="0"/>
              <w:rPr>
                <w:sz w:val="20"/>
                <w:szCs w:val="20"/>
                <w:color w:val="auto"/>
              </w:rPr>
            </w:pPr>
            <w:r>
              <w:rPr>
                <w:rFonts w:ascii="Arial" w:cs="Arial" w:eastAsia="Arial" w:hAnsi="Arial"/>
                <w:sz w:val="15"/>
                <w:szCs w:val="15"/>
                <w:b w:val="1"/>
                <w:bCs w:val="1"/>
                <w:color w:val="auto"/>
              </w:rPr>
              <w:t>12.38</w:t>
            </w:r>
          </w:p>
        </w:tc>
        <w:tc>
          <w:tcPr>
            <w:tcW w:w="2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172"/>
        </w:trPr>
        <w:tc>
          <w:tcPr>
            <w:tcW w:w="5860" w:type="dxa"/>
            <w:vAlign w:val="bottom"/>
          </w:tcPr>
          <w:p>
            <w:pPr>
              <w:ind w:left="480"/>
              <w:spacing w:after="0" w:line="167" w:lineRule="exact"/>
              <w:rPr>
                <w:sz w:val="20"/>
                <w:szCs w:val="20"/>
                <w:color w:val="auto"/>
              </w:rPr>
            </w:pPr>
            <w:r>
              <w:rPr>
                <w:rFonts w:ascii="Arial" w:cs="Arial" w:eastAsia="Arial" w:hAnsi="Arial"/>
                <w:sz w:val="15"/>
                <w:szCs w:val="15"/>
                <w:color w:val="auto"/>
              </w:rPr>
              <w:t>Basic</w:t>
            </w:r>
          </w:p>
        </w:tc>
        <w:tc>
          <w:tcPr>
            <w:tcW w:w="260" w:type="dxa"/>
            <w:vAlign w:val="bottom"/>
            <w:tcBorders>
              <w:bottom w:val="single" w:sz="8" w:color="auto"/>
            </w:tcBorders>
            <w:vMerge w:val="continue"/>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vMerge w:val="continue"/>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5860" w:type="dxa"/>
            <w:vAlign w:val="bottom"/>
          </w:tcPr>
          <w:p>
            <w:pPr>
              <w:ind w:left="480"/>
              <w:spacing w:after="0" w:line="151" w:lineRule="exact"/>
              <w:rPr>
                <w:sz w:val="20"/>
                <w:szCs w:val="20"/>
                <w:color w:val="auto"/>
              </w:rPr>
            </w:pPr>
            <w:r>
              <w:rPr>
                <w:rFonts w:ascii="Arial" w:cs="Arial" w:eastAsia="Arial" w:hAnsi="Arial"/>
                <w:sz w:val="15"/>
                <w:szCs w:val="15"/>
                <w:color w:val="auto"/>
              </w:rPr>
              <w:t>Diluted</w:t>
            </w:r>
          </w:p>
        </w:tc>
        <w:tc>
          <w:tcPr>
            <w:tcW w:w="2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88"/>
              <w:spacing w:after="0" w:line="151" w:lineRule="exact"/>
              <w:rPr>
                <w:sz w:val="20"/>
                <w:szCs w:val="20"/>
                <w:color w:val="auto"/>
              </w:rPr>
            </w:pPr>
            <w:r>
              <w:rPr>
                <w:rFonts w:ascii="Arial" w:cs="Arial" w:eastAsia="Arial" w:hAnsi="Arial"/>
                <w:sz w:val="15"/>
                <w:szCs w:val="15"/>
                <w:b w:val="1"/>
                <w:bCs w:val="1"/>
                <w:color w:val="auto"/>
              </w:rPr>
              <w:t>6.03</w:t>
            </w:r>
          </w:p>
        </w:tc>
        <w:tc>
          <w:tcPr>
            <w:tcW w:w="300" w:type="dxa"/>
            <w:vAlign w:val="bottom"/>
            <w:tcBorders>
              <w:bottom w:val="single" w:sz="8" w:color="auto"/>
            </w:tcBorders>
          </w:tcPr>
          <w:p>
            <w:pPr>
              <w:jc w:val="right"/>
              <w:ind w:right="6"/>
              <w:spacing w:after="0" w:line="151"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5"/>
                <w:szCs w:val="15"/>
                <w:color w:val="auto"/>
              </w:rPr>
              <w:t>1.59</w:t>
            </w:r>
          </w:p>
        </w:tc>
        <w:tc>
          <w:tcPr>
            <w:tcW w:w="360" w:type="dxa"/>
            <w:vAlign w:val="bottom"/>
            <w:tcBorders>
              <w:bottom w:val="single" w:sz="8" w:color="auto"/>
            </w:tcBorders>
          </w:tcPr>
          <w:p>
            <w:pPr>
              <w:jc w:val="right"/>
              <w:ind w:right="48"/>
              <w:spacing w:after="0" w:line="151"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68"/>
              <w:spacing w:after="0" w:line="151" w:lineRule="exact"/>
              <w:rPr>
                <w:sz w:val="20"/>
                <w:szCs w:val="20"/>
                <w:color w:val="auto"/>
              </w:rPr>
            </w:pPr>
            <w:r>
              <w:rPr>
                <w:rFonts w:ascii="Arial" w:cs="Arial" w:eastAsia="Arial" w:hAnsi="Arial"/>
                <w:sz w:val="15"/>
                <w:szCs w:val="15"/>
                <w:b w:val="1"/>
                <w:bCs w:val="1"/>
                <w:color w:val="auto"/>
              </w:rPr>
              <w:t>12.38</w:t>
            </w:r>
          </w:p>
        </w:tc>
        <w:tc>
          <w:tcPr>
            <w:tcW w:w="28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5"/>
                <w:szCs w:val="15"/>
                <w:color w:val="auto"/>
              </w:rPr>
              <w:t>10.44</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15" w:name="page16"/>
    <w:bookmarkEnd w:id="15"/>
    <w:p>
      <w:pPr>
        <w:ind w:right="80"/>
        <w:spacing w:after="0" w:line="230" w:lineRule="auto"/>
        <w:rPr>
          <w:sz w:val="20"/>
          <w:szCs w:val="20"/>
          <w:color w:val="auto"/>
        </w:rPr>
      </w:pPr>
      <w:r>
        <w:rPr>
          <w:rFonts w:ascii="Arial" w:cs="Arial" w:eastAsia="Arial" w:hAnsi="Arial"/>
          <w:sz w:val="17"/>
          <w:szCs w:val="17"/>
          <w:color w:val="auto"/>
        </w:rPr>
        <w:t>For the three and nine months ended September 30, 2012, the basic earnings per share computed under the two-class method is lower than the diluted earnings per share computed under the if-converted method for participating securities, resulting in the presentation of the lower amount in diluted earnings per share. The diluted earnings per share amounts for the three and nine months ended September 30, 2012 exclude the effects of 123,494 and 111,994 stock options outstanding, respectively, as their inclusion would have been antidilutive. The diluted earnings per share amounts for the three and nine months ended September 30, 2012 exclude the effects of 42,500 restricted stock awards, as their inclusion would have been antidilutive. The diluted earnings per share amounts for the three and nine months ended October 2, 2011 exclude the effects of 137,544 and 101,794 stock options outstanding, respectively, as their inclusion would have been antidilutive.</w:t>
      </w:r>
    </w:p>
    <w:p>
      <w:pPr>
        <w:spacing w:after="0" w:line="178" w:lineRule="exact"/>
        <w:rPr>
          <w:sz w:val="20"/>
          <w:szCs w:val="20"/>
          <w:color w:val="auto"/>
        </w:rPr>
      </w:pPr>
    </w:p>
    <w:p>
      <w:pPr>
        <w:ind w:right="180"/>
        <w:spacing w:after="0" w:line="235" w:lineRule="auto"/>
        <w:rPr>
          <w:sz w:val="20"/>
          <w:szCs w:val="20"/>
          <w:color w:val="auto"/>
        </w:rPr>
      </w:pPr>
      <w:r>
        <w:rPr>
          <w:rFonts w:ascii="Arial" w:cs="Arial" w:eastAsia="Arial" w:hAnsi="Arial"/>
          <w:sz w:val="17"/>
          <w:szCs w:val="17"/>
          <w:color w:val="auto"/>
        </w:rPr>
        <w:t>In the three and nine months ended September 30, 2012, the Company declared regular dividends totaling $2.45 and $9.80 per share, respectively. In the three and nine months ended October 2, 2011, the Company declared regular dividends totaling $2.35 and $9.40 per share,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PENSION AND POSTRETIREMENT PLANS</w:t>
      </w:r>
    </w:p>
    <w:p>
      <w:pPr>
        <w:spacing w:after="0" w:line="177" w:lineRule="exact"/>
        <w:rPr>
          <w:sz w:val="20"/>
          <w:szCs w:val="20"/>
          <w:color w:val="auto"/>
        </w:rPr>
      </w:pPr>
    </w:p>
    <w:p>
      <w:pPr>
        <w:ind w:right="480"/>
        <w:spacing w:after="0" w:line="255" w:lineRule="auto"/>
        <w:rPr>
          <w:sz w:val="20"/>
          <w:szCs w:val="20"/>
          <w:color w:val="auto"/>
        </w:rPr>
      </w:pPr>
      <w:r>
        <w:rPr>
          <w:rFonts w:ascii="Arial" w:cs="Arial" w:eastAsia="Arial" w:hAnsi="Arial"/>
          <w:sz w:val="17"/>
          <w:szCs w:val="17"/>
          <w:b w:val="1"/>
          <w:bCs w:val="1"/>
          <w:color w:val="auto"/>
        </w:rPr>
        <w:t>Defined Benefit Plans</w:t>
      </w:r>
      <w:r>
        <w:rPr>
          <w:rFonts w:ascii="Arial" w:cs="Arial" w:eastAsia="Arial" w:hAnsi="Arial"/>
          <w:sz w:val="17"/>
          <w:szCs w:val="17"/>
          <w:color w:val="auto"/>
        </w:rPr>
        <w:t>. The total cost (benefit) arising from the Company’s defined benefit pension plans, including a portion included in discontinued</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consists of the following components: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3"/>
          </w:tcPr>
          <w:p>
            <w:pPr>
              <w:jc w:val="right"/>
              <w:ind w:right="1049"/>
              <w:spacing w:after="0"/>
              <w:rPr>
                <w:sz w:val="20"/>
                <w:szCs w:val="20"/>
                <w:color w:val="auto"/>
              </w:rPr>
            </w:pPr>
            <w:r>
              <w:rPr>
                <w:rFonts w:ascii="Arial" w:cs="Arial" w:eastAsia="Arial" w:hAnsi="Arial"/>
                <w:sz w:val="12"/>
                <w:szCs w:val="12"/>
                <w:b w:val="1"/>
                <w:bCs w:val="1"/>
                <w:color w:val="auto"/>
              </w:rPr>
              <w:t>Pension Plans</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29"/>
        </w:trPr>
        <w:tc>
          <w:tcPr>
            <w:tcW w:w="5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3"/>
          </w:tcPr>
          <w:p>
            <w:pPr>
              <w:jc w:val="right"/>
              <w:ind w:right="789"/>
              <w:spacing w:after="0" w:line="129" w:lineRule="exact"/>
              <w:rPr>
                <w:sz w:val="20"/>
                <w:szCs w:val="20"/>
                <w:color w:val="auto"/>
              </w:rPr>
            </w:pPr>
            <w:r>
              <w:rPr>
                <w:rFonts w:ascii="Arial" w:cs="Arial" w:eastAsia="Arial" w:hAnsi="Arial"/>
                <w:sz w:val="12"/>
                <w:szCs w:val="12"/>
                <w:b w:val="1"/>
                <w:bCs w:val="1"/>
                <w:color w:val="auto"/>
              </w:rPr>
              <w:t>Three Months Ended</w:t>
            </w:r>
          </w:p>
        </w:tc>
        <w:tc>
          <w:tcPr>
            <w:tcW w:w="3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jc w:val="right"/>
              <w:ind w:right="708"/>
              <w:spacing w:after="0" w:line="129" w:lineRule="exact"/>
              <w:rPr>
                <w:sz w:val="20"/>
                <w:szCs w:val="20"/>
                <w:color w:val="auto"/>
              </w:rPr>
            </w:pPr>
            <w:r>
              <w:rPr>
                <w:rFonts w:ascii="Arial" w:cs="Arial" w:eastAsia="Arial" w:hAnsi="Arial"/>
                <w:sz w:val="12"/>
                <w:szCs w:val="12"/>
                <w:b w:val="1"/>
                <w:bCs w:val="1"/>
                <w:color w:val="auto"/>
              </w:rPr>
              <w:t>Nine Months Ended</w:t>
            </w:r>
          </w:p>
        </w:tc>
      </w:tr>
      <w:tr>
        <w:trPr>
          <w:trHeight w:val="114"/>
        </w:trPr>
        <w:tc>
          <w:tcPr>
            <w:tcW w:w="5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229"/>
              <w:spacing w:after="0" w:line="114" w:lineRule="exact"/>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9"/>
                <w:szCs w:val="9"/>
                <w:color w:val="auto"/>
              </w:rPr>
            </w:pPr>
          </w:p>
        </w:tc>
        <w:tc>
          <w:tcPr>
            <w:tcW w:w="1100" w:type="dxa"/>
            <w:vAlign w:val="bottom"/>
          </w:tcPr>
          <w:p>
            <w:pPr>
              <w:jc w:val="right"/>
              <w:ind w:right="369"/>
              <w:spacing w:after="0" w:line="114" w:lineRule="exact"/>
              <w:rPr>
                <w:sz w:val="20"/>
                <w:szCs w:val="20"/>
                <w:color w:val="auto"/>
              </w:rPr>
            </w:pPr>
            <w:r>
              <w:rPr>
                <w:rFonts w:ascii="Arial" w:cs="Arial" w:eastAsia="Arial" w:hAnsi="Arial"/>
                <w:sz w:val="12"/>
                <w:szCs w:val="12"/>
                <w:color w:val="auto"/>
              </w:rPr>
              <w:t>October 2,</w:t>
            </w:r>
          </w:p>
        </w:tc>
        <w:tc>
          <w:tcPr>
            <w:tcW w:w="320" w:type="dxa"/>
            <w:vAlign w:val="bottom"/>
          </w:tcPr>
          <w:p>
            <w:pPr>
              <w:spacing w:after="0"/>
              <w:rPr>
                <w:sz w:val="9"/>
                <w:szCs w:val="9"/>
                <w:color w:val="auto"/>
              </w:rPr>
            </w:pPr>
          </w:p>
        </w:tc>
        <w:tc>
          <w:tcPr>
            <w:tcW w:w="1160" w:type="dxa"/>
            <w:vAlign w:val="bottom"/>
          </w:tcPr>
          <w:p>
            <w:pPr>
              <w:jc w:val="right"/>
              <w:ind w:right="229"/>
              <w:spacing w:after="0" w:line="114" w:lineRule="exact"/>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9"/>
                <w:szCs w:val="9"/>
                <w:color w:val="auto"/>
              </w:rPr>
            </w:pPr>
          </w:p>
        </w:tc>
        <w:tc>
          <w:tcPr>
            <w:tcW w:w="960" w:type="dxa"/>
            <w:vAlign w:val="bottom"/>
          </w:tcPr>
          <w:p>
            <w:pPr>
              <w:jc w:val="right"/>
              <w:ind w:right="248"/>
              <w:spacing w:after="0" w:line="114" w:lineRule="exact"/>
              <w:rPr>
                <w:sz w:val="20"/>
                <w:szCs w:val="20"/>
                <w:color w:val="auto"/>
              </w:rPr>
            </w:pPr>
            <w:r>
              <w:rPr>
                <w:rFonts w:ascii="Arial" w:cs="Arial" w:eastAsia="Arial" w:hAnsi="Arial"/>
                <w:sz w:val="12"/>
                <w:szCs w:val="12"/>
                <w:color w:val="auto"/>
              </w:rPr>
              <w:t>October 2,</w:t>
            </w:r>
          </w:p>
        </w:tc>
      </w:tr>
      <w:tr>
        <w:trPr>
          <w:trHeight w:val="151"/>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49"/>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8"/>
              <w:spacing w:after="0"/>
              <w:rPr>
                <w:sz w:val="20"/>
                <w:szCs w:val="20"/>
                <w:color w:val="auto"/>
              </w:rPr>
            </w:pPr>
            <w:r>
              <w:rPr>
                <w:rFonts w:ascii="Arial" w:cs="Arial" w:eastAsia="Arial" w:hAnsi="Arial"/>
                <w:sz w:val="12"/>
                <w:szCs w:val="12"/>
                <w:color w:val="auto"/>
              </w:rPr>
              <w:t>2011</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160" w:type="dxa"/>
            <w:vAlign w:val="bottom"/>
            <w:gridSpan w:val="2"/>
          </w:tcPr>
          <w:p>
            <w:pPr>
              <w:jc w:val="right"/>
              <w:ind w:right="32"/>
              <w:spacing w:after="0" w:line="150" w:lineRule="exact"/>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10,876</w:t>
            </w:r>
          </w:p>
        </w:tc>
        <w:tc>
          <w:tcPr>
            <w:tcW w:w="380" w:type="dxa"/>
            <w:vAlign w:val="bottom"/>
          </w:tcPr>
          <w:p>
            <w:pPr>
              <w:jc w:val="right"/>
              <w:ind w:right="6"/>
              <w:spacing w:after="0" w:line="150"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9"/>
              <w:spacing w:after="0" w:line="150" w:lineRule="exact"/>
              <w:rPr>
                <w:sz w:val="20"/>
                <w:szCs w:val="20"/>
                <w:color w:val="auto"/>
              </w:rPr>
            </w:pPr>
            <w:r>
              <w:rPr>
                <w:rFonts w:ascii="Arial" w:cs="Arial" w:eastAsia="Arial" w:hAnsi="Arial"/>
                <w:sz w:val="15"/>
                <w:szCs w:val="15"/>
                <w:color w:val="auto"/>
              </w:rPr>
              <w:t>6,760</w:t>
            </w:r>
          </w:p>
        </w:tc>
        <w:tc>
          <w:tcPr>
            <w:tcW w:w="3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28,684</w:t>
            </w:r>
          </w:p>
        </w:tc>
        <w:tc>
          <w:tcPr>
            <w:tcW w:w="3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20,734</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Interest 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b w:val="1"/>
                <w:bCs w:val="1"/>
                <w:color w:val="auto"/>
              </w:rPr>
              <w:t>14,828</w:t>
            </w:r>
          </w:p>
        </w:tc>
        <w:tc>
          <w:tcPr>
            <w:tcW w:w="3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5"/>
                <w:szCs w:val="15"/>
                <w:color w:val="auto"/>
              </w:rPr>
              <w:t>14,964</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44,248</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45,033</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Expected return on assets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b w:val="1"/>
                <w:bCs w:val="1"/>
                <w:color w:val="auto"/>
              </w:rPr>
              <w:t>(23,779)</w:t>
            </w:r>
          </w:p>
        </w:tc>
        <w:tc>
          <w:tcPr>
            <w:tcW w:w="3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5"/>
                <w:szCs w:val="15"/>
                <w:color w:val="auto"/>
              </w:rPr>
              <w:t>(24,095)</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(72,301)</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(71,648)</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b w:val="1"/>
                <w:bCs w:val="1"/>
                <w:color w:val="auto"/>
              </w:rPr>
              <w:t>919</w:t>
            </w:r>
          </w:p>
        </w:tc>
        <w:tc>
          <w:tcPr>
            <w:tcW w:w="3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5"/>
                <w:szCs w:val="15"/>
                <w:color w:val="auto"/>
              </w:rPr>
              <w:t>882</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b w:val="1"/>
                <w:bCs w:val="1"/>
                <w:color w:val="auto"/>
              </w:rPr>
              <w:t>2,775</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2,645</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2,502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6,574</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b w:val="1"/>
                <w:bCs w:val="1"/>
                <w:color w:val="auto"/>
              </w:rPr>
              <w:t>Net Periodic Cost (Benefit)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5,346</w:t>
            </w:r>
          </w:p>
        </w:tc>
        <w:tc>
          <w:tcPr>
            <w:tcW w:w="380" w:type="dxa"/>
            <w:vAlign w:val="bottom"/>
          </w:tcPr>
          <w:p>
            <w:pPr>
              <w:spacing w:after="0"/>
              <w:rPr>
                <w:sz w:val="13"/>
                <w:szCs w:val="13"/>
                <w:color w:val="auto"/>
              </w:rPr>
            </w:pPr>
          </w:p>
        </w:tc>
        <w:tc>
          <w:tcPr>
            <w:tcW w:w="1100" w:type="dxa"/>
            <w:vAlign w:val="bottom"/>
          </w:tcPr>
          <w:p>
            <w:pPr>
              <w:jc w:val="right"/>
              <w:ind w:right="9"/>
              <w:spacing w:after="0" w:line="150" w:lineRule="exact"/>
              <w:rPr>
                <w:sz w:val="20"/>
                <w:szCs w:val="20"/>
                <w:color w:val="auto"/>
              </w:rPr>
            </w:pPr>
            <w:r>
              <w:rPr>
                <w:rFonts w:ascii="Arial" w:cs="Arial" w:eastAsia="Arial" w:hAnsi="Arial"/>
                <w:sz w:val="15"/>
                <w:szCs w:val="15"/>
                <w:color w:val="auto"/>
              </w:rPr>
              <w:t>(1,489)</w:t>
            </w:r>
          </w:p>
        </w:tc>
        <w:tc>
          <w:tcPr>
            <w:tcW w:w="320" w:type="dxa"/>
            <w:vAlign w:val="bottom"/>
          </w:tcPr>
          <w:p>
            <w:pPr>
              <w:spacing w:after="0"/>
              <w:rPr>
                <w:sz w:val="13"/>
                <w:szCs w:val="13"/>
                <w:color w:val="auto"/>
              </w:rPr>
            </w:pPr>
          </w:p>
        </w:tc>
        <w:tc>
          <w:tcPr>
            <w:tcW w:w="1160" w:type="dxa"/>
            <w:vAlign w:val="bottom"/>
          </w:tcPr>
          <w:p>
            <w:pPr>
              <w:jc w:val="right"/>
              <w:ind w:right="9"/>
              <w:spacing w:after="0" w:line="150" w:lineRule="exact"/>
              <w:rPr>
                <w:sz w:val="20"/>
                <w:szCs w:val="20"/>
                <w:color w:val="auto"/>
              </w:rPr>
            </w:pPr>
            <w:r>
              <w:rPr>
                <w:rFonts w:ascii="Arial" w:cs="Arial" w:eastAsia="Arial" w:hAnsi="Arial"/>
                <w:sz w:val="15"/>
                <w:szCs w:val="15"/>
                <w:b w:val="1"/>
                <w:bCs w:val="1"/>
                <w:color w:val="auto"/>
              </w:rPr>
              <w:t>9,980</w:t>
            </w:r>
          </w:p>
        </w:tc>
        <w:tc>
          <w:tcPr>
            <w:tcW w:w="340" w:type="dxa"/>
            <w:vAlign w:val="bottom"/>
          </w:tcPr>
          <w:p>
            <w:pPr>
              <w:spacing w:after="0"/>
              <w:rPr>
                <w:sz w:val="13"/>
                <w:szCs w:val="13"/>
                <w:color w:val="auto"/>
              </w:rPr>
            </w:pP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(3,236)</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Early retirement programs expense</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7,486</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b w:val="1"/>
                <w:bCs w:val="1"/>
                <w:color w:val="auto"/>
              </w:rPr>
              <w:t>8,508</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430</w:t>
            </w: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 (Benefit)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12,832</w:t>
            </w:r>
          </w:p>
        </w:tc>
        <w:tc>
          <w:tcPr>
            <w:tcW w:w="3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(1,489)</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b w:val="1"/>
                <w:bCs w:val="1"/>
                <w:color w:val="auto"/>
              </w:rPr>
              <w:t>18,488</w:t>
            </w:r>
          </w:p>
        </w:tc>
        <w:tc>
          <w:tcPr>
            <w:tcW w:w="3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(2,806)</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In the third quarter of 2012, the Company offered a Voluntary Retirement Incentive Program to certain employees of The Washington Post newspaper and recorded early retirement program expense of $7.5 million. In the first quarter of 2012, the Company offered a Voluntary Retirement Incentive Program to certain employees of Post-Newsweek Media and recorded early retirement program expense of $1.0 million. In the first quarter of 2011, the Company offered a Voluntary Retirement Incentive Program to certain employees of Robinson Terminal Warehouse and recorded early retirement program expense of $0.4 million. The early retirement program expense for these programs is funded from the assets of the Company’s pension plans.</w:t>
      </w:r>
    </w:p>
    <w:p>
      <w:pPr>
        <w:spacing w:after="0" w:line="17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Effective August 1, 2012, the Company’s defined benefit pension plan was amended to provide most of the current participants with a new cash balance benefit. The new cash balance benefit will be funded by the assets of the Company’s pension plans. As a result of this new benefit, effective August 1, 2012, the Company’s matching contribution for its 401(k) Savings Plans was reduced.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total cost arising from the Company’s Supplemental Executive Retirement Plan (SERP) consists of the following components: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SERP</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129"/>
        </w:trPr>
        <w:tc>
          <w:tcPr>
            <w:tcW w:w="57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820" w:type="dxa"/>
            <w:vAlign w:val="bottom"/>
            <w:tcBorders>
              <w:bottom w:val="single" w:sz="8" w:color="auto"/>
            </w:tcBorders>
            <w:gridSpan w:val="3"/>
          </w:tcPr>
          <w:p>
            <w:pPr>
              <w:jc w:val="right"/>
              <w:ind w:right="950"/>
              <w:spacing w:after="0" w:line="129" w:lineRule="exact"/>
              <w:rPr>
                <w:sz w:val="20"/>
                <w:szCs w:val="20"/>
                <w:color w:val="auto"/>
              </w:rPr>
            </w:pPr>
            <w:r>
              <w:rPr>
                <w:rFonts w:ascii="Arial" w:cs="Arial" w:eastAsia="Arial" w:hAnsi="Arial"/>
                <w:sz w:val="12"/>
                <w:szCs w:val="12"/>
                <w:b w:val="1"/>
                <w:bCs w:val="1"/>
                <w:color w:val="auto"/>
              </w:rPr>
              <w:t>Three Months Ended</w:t>
            </w:r>
          </w:p>
        </w:tc>
        <w:tc>
          <w:tcPr>
            <w:tcW w:w="16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gridSpan w:val="3"/>
          </w:tcPr>
          <w:p>
            <w:pPr>
              <w:jc w:val="right"/>
              <w:ind w:right="709"/>
              <w:spacing w:after="0" w:line="129" w:lineRule="exact"/>
              <w:rPr>
                <w:sz w:val="20"/>
                <w:szCs w:val="20"/>
                <w:color w:val="auto"/>
              </w:rPr>
            </w:pPr>
            <w:r>
              <w:rPr>
                <w:rFonts w:ascii="Arial" w:cs="Arial" w:eastAsia="Arial" w:hAnsi="Arial"/>
                <w:sz w:val="12"/>
                <w:szCs w:val="12"/>
                <w:b w:val="1"/>
                <w:bCs w:val="1"/>
                <w:color w:val="auto"/>
              </w:rPr>
              <w:t>Nine Months Ended</w:t>
            </w:r>
          </w:p>
        </w:tc>
      </w:tr>
      <w:tr>
        <w:trPr>
          <w:trHeight w:val="114"/>
        </w:trPr>
        <w:tc>
          <w:tcPr>
            <w:tcW w:w="5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40" w:type="dxa"/>
            <w:vAlign w:val="bottom"/>
          </w:tcPr>
          <w:p>
            <w:pPr>
              <w:jc w:val="right"/>
              <w:ind w:right="290"/>
              <w:spacing w:after="0" w:line="114" w:lineRule="exact"/>
              <w:rPr>
                <w:sz w:val="20"/>
                <w:szCs w:val="20"/>
                <w:color w:val="auto"/>
              </w:rPr>
            </w:pPr>
            <w:r>
              <w:rPr>
                <w:rFonts w:ascii="Arial" w:cs="Arial" w:eastAsia="Arial" w:hAnsi="Arial"/>
                <w:sz w:val="12"/>
                <w:szCs w:val="12"/>
                <w:b w:val="1"/>
                <w:bCs w:val="1"/>
                <w:color w:val="auto"/>
              </w:rPr>
              <w:t>September 30,</w:t>
            </w:r>
          </w:p>
        </w:tc>
        <w:tc>
          <w:tcPr>
            <w:tcW w:w="320" w:type="dxa"/>
            <w:vAlign w:val="bottom"/>
          </w:tcPr>
          <w:p>
            <w:pPr>
              <w:spacing w:after="0"/>
              <w:rPr>
                <w:sz w:val="9"/>
                <w:szCs w:val="9"/>
                <w:color w:val="auto"/>
              </w:rPr>
            </w:pPr>
          </w:p>
        </w:tc>
        <w:tc>
          <w:tcPr>
            <w:tcW w:w="1260" w:type="dxa"/>
            <w:vAlign w:val="bottom"/>
          </w:tcPr>
          <w:p>
            <w:pPr>
              <w:jc w:val="right"/>
              <w:ind w:right="530"/>
              <w:spacing w:after="0" w:line="114" w:lineRule="exact"/>
              <w:rPr>
                <w:sz w:val="20"/>
                <w:szCs w:val="20"/>
                <w:color w:val="auto"/>
              </w:rPr>
            </w:pPr>
            <w:r>
              <w:rPr>
                <w:rFonts w:ascii="Arial" w:cs="Arial" w:eastAsia="Arial" w:hAnsi="Arial"/>
                <w:sz w:val="12"/>
                <w:szCs w:val="12"/>
                <w:color w:val="auto"/>
              </w:rPr>
              <w:t>October 2,</w:t>
            </w:r>
          </w:p>
        </w:tc>
        <w:tc>
          <w:tcPr>
            <w:tcW w:w="160" w:type="dxa"/>
            <w:vAlign w:val="bottom"/>
          </w:tcPr>
          <w:p>
            <w:pPr>
              <w:spacing w:after="0"/>
              <w:rPr>
                <w:sz w:val="9"/>
                <w:szCs w:val="9"/>
                <w:color w:val="auto"/>
              </w:rPr>
            </w:pPr>
          </w:p>
        </w:tc>
        <w:tc>
          <w:tcPr>
            <w:tcW w:w="1220" w:type="dxa"/>
            <w:vAlign w:val="bottom"/>
          </w:tcPr>
          <w:p>
            <w:pPr>
              <w:jc w:val="right"/>
              <w:ind w:right="290"/>
              <w:spacing w:after="0" w:line="114"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9"/>
                <w:szCs w:val="9"/>
                <w:color w:val="auto"/>
              </w:rPr>
            </w:pPr>
          </w:p>
        </w:tc>
        <w:tc>
          <w:tcPr>
            <w:tcW w:w="960" w:type="dxa"/>
            <w:vAlign w:val="bottom"/>
          </w:tcPr>
          <w:p>
            <w:pPr>
              <w:jc w:val="right"/>
              <w:ind w:right="249"/>
              <w:spacing w:after="0" w:line="114" w:lineRule="exact"/>
              <w:rPr>
                <w:sz w:val="20"/>
                <w:szCs w:val="20"/>
                <w:color w:val="auto"/>
              </w:rPr>
            </w:pPr>
            <w:r>
              <w:rPr>
                <w:rFonts w:ascii="Arial" w:cs="Arial" w:eastAsia="Arial" w:hAnsi="Arial"/>
                <w:sz w:val="12"/>
                <w:szCs w:val="12"/>
                <w:color w:val="auto"/>
              </w:rPr>
              <w:t>October 2,</w:t>
            </w:r>
          </w:p>
        </w:tc>
      </w:tr>
      <w:tr>
        <w:trPr>
          <w:trHeight w:val="151"/>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2"/>
                <w:szCs w:val="12"/>
                <w:color w:val="auto"/>
              </w:rPr>
              <w:t>2011</w:t>
            </w:r>
          </w:p>
        </w:tc>
        <w:tc>
          <w:tcPr>
            <w:tcW w:w="1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color w:val="auto"/>
              </w:rPr>
              <w:t>2011</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70"/>
              <w:spacing w:after="0" w:line="150" w:lineRule="exact"/>
              <w:rPr>
                <w:sz w:val="20"/>
                <w:szCs w:val="20"/>
                <w:color w:val="auto"/>
              </w:rPr>
            </w:pPr>
            <w:r>
              <w:rPr>
                <w:rFonts w:ascii="Arial" w:cs="Arial" w:eastAsia="Arial" w:hAnsi="Arial"/>
                <w:sz w:val="15"/>
                <w:szCs w:val="15"/>
                <w:b w:val="1"/>
                <w:bCs w:val="1"/>
                <w:color w:val="auto"/>
              </w:rPr>
              <w:t>367</w:t>
            </w:r>
          </w:p>
        </w:tc>
        <w:tc>
          <w:tcPr>
            <w:tcW w:w="320" w:type="dxa"/>
            <w:vAlign w:val="bottom"/>
          </w:tcPr>
          <w:p>
            <w:pPr>
              <w:jc w:val="right"/>
              <w:ind w:right="6"/>
              <w:spacing w:after="0" w:line="150" w:lineRule="exact"/>
              <w:rPr>
                <w:sz w:val="20"/>
                <w:szCs w:val="20"/>
                <w:color w:val="auto"/>
              </w:rPr>
            </w:pPr>
            <w:r>
              <w:rPr>
                <w:rFonts w:ascii="Arial" w:cs="Arial" w:eastAsia="Arial" w:hAnsi="Arial"/>
                <w:sz w:val="15"/>
                <w:szCs w:val="15"/>
                <w:color w:val="auto"/>
              </w:rPr>
              <w:t>$</w:t>
            </w:r>
          </w:p>
        </w:tc>
        <w:tc>
          <w:tcPr>
            <w:tcW w:w="1260" w:type="dxa"/>
            <w:vAlign w:val="bottom"/>
          </w:tcPr>
          <w:p>
            <w:pPr>
              <w:jc w:val="right"/>
              <w:ind w:right="170"/>
              <w:spacing w:after="0" w:line="150" w:lineRule="exact"/>
              <w:rPr>
                <w:sz w:val="20"/>
                <w:szCs w:val="20"/>
                <w:color w:val="auto"/>
              </w:rPr>
            </w:pPr>
            <w:r>
              <w:rPr>
                <w:rFonts w:ascii="Arial" w:cs="Arial" w:eastAsia="Arial" w:hAnsi="Arial"/>
                <w:sz w:val="15"/>
                <w:szCs w:val="15"/>
                <w:color w:val="auto"/>
              </w:rPr>
              <w:t>380</w:t>
            </w:r>
          </w:p>
        </w:tc>
        <w:tc>
          <w:tcPr>
            <w:tcW w:w="16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70"/>
              <w:spacing w:after="0" w:line="150" w:lineRule="exact"/>
              <w:rPr>
                <w:sz w:val="20"/>
                <w:szCs w:val="20"/>
                <w:color w:val="auto"/>
              </w:rPr>
            </w:pPr>
            <w:r>
              <w:rPr>
                <w:rFonts w:ascii="Arial" w:cs="Arial" w:eastAsia="Arial" w:hAnsi="Arial"/>
                <w:sz w:val="15"/>
                <w:szCs w:val="15"/>
                <w:b w:val="1"/>
                <w:bCs w:val="1"/>
                <w:color w:val="auto"/>
              </w:rPr>
              <w:t>1,100</w:t>
            </w:r>
          </w:p>
        </w:tc>
        <w:tc>
          <w:tcPr>
            <w:tcW w:w="28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1,140</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Interest cost</w:t>
            </w:r>
          </w:p>
        </w:tc>
        <w:tc>
          <w:tcPr>
            <w:tcW w:w="240" w:type="dxa"/>
            <w:vAlign w:val="bottom"/>
          </w:tcPr>
          <w:p>
            <w:pPr>
              <w:spacing w:after="0"/>
              <w:rPr>
                <w:sz w:val="15"/>
                <w:szCs w:val="15"/>
                <w:color w:val="auto"/>
              </w:rPr>
            </w:pPr>
          </w:p>
        </w:tc>
        <w:tc>
          <w:tcPr>
            <w:tcW w:w="1240" w:type="dxa"/>
            <w:vAlign w:val="bottom"/>
          </w:tcPr>
          <w:p>
            <w:pPr>
              <w:jc w:val="right"/>
              <w:ind w:right="70"/>
              <w:spacing w:after="0"/>
              <w:rPr>
                <w:sz w:val="20"/>
                <w:szCs w:val="20"/>
                <w:color w:val="auto"/>
              </w:rPr>
            </w:pPr>
            <w:r>
              <w:rPr>
                <w:rFonts w:ascii="Arial" w:cs="Arial" w:eastAsia="Arial" w:hAnsi="Arial"/>
                <w:sz w:val="15"/>
                <w:szCs w:val="15"/>
                <w:b w:val="1"/>
                <w:bCs w:val="1"/>
                <w:color w:val="auto"/>
              </w:rPr>
              <w:t>1,060</w:t>
            </w:r>
          </w:p>
        </w:tc>
        <w:tc>
          <w:tcPr>
            <w:tcW w:w="320" w:type="dxa"/>
            <w:vAlign w:val="bottom"/>
          </w:tcPr>
          <w:p>
            <w:pPr>
              <w:spacing w:after="0"/>
              <w:rPr>
                <w:sz w:val="15"/>
                <w:szCs w:val="15"/>
                <w:color w:val="auto"/>
              </w:rPr>
            </w:pPr>
          </w:p>
        </w:tc>
        <w:tc>
          <w:tcPr>
            <w:tcW w:w="1260" w:type="dxa"/>
            <w:vAlign w:val="bottom"/>
          </w:tcPr>
          <w:p>
            <w:pPr>
              <w:jc w:val="right"/>
              <w:ind w:right="170"/>
              <w:spacing w:after="0"/>
              <w:rPr>
                <w:sz w:val="20"/>
                <w:szCs w:val="20"/>
                <w:color w:val="auto"/>
              </w:rPr>
            </w:pPr>
            <w:r>
              <w:rPr>
                <w:rFonts w:ascii="Arial" w:cs="Arial" w:eastAsia="Arial" w:hAnsi="Arial"/>
                <w:sz w:val="15"/>
                <w:szCs w:val="15"/>
                <w:color w:val="auto"/>
              </w:rPr>
              <w:t>1,084</w:t>
            </w:r>
          </w:p>
        </w:tc>
        <w:tc>
          <w:tcPr>
            <w:tcW w:w="160" w:type="dxa"/>
            <w:vAlign w:val="bottom"/>
          </w:tcPr>
          <w:p>
            <w:pPr>
              <w:spacing w:after="0"/>
              <w:rPr>
                <w:sz w:val="15"/>
                <w:szCs w:val="15"/>
                <w:color w:val="auto"/>
              </w:rPr>
            </w:pPr>
          </w:p>
        </w:tc>
        <w:tc>
          <w:tcPr>
            <w:tcW w:w="1220" w:type="dxa"/>
            <w:vAlign w:val="bottom"/>
          </w:tcPr>
          <w:p>
            <w:pPr>
              <w:jc w:val="right"/>
              <w:ind w:right="70"/>
              <w:spacing w:after="0"/>
              <w:rPr>
                <w:sz w:val="20"/>
                <w:szCs w:val="20"/>
                <w:color w:val="auto"/>
              </w:rPr>
            </w:pPr>
            <w:r>
              <w:rPr>
                <w:rFonts w:ascii="Arial" w:cs="Arial" w:eastAsia="Arial" w:hAnsi="Arial"/>
                <w:sz w:val="15"/>
                <w:szCs w:val="15"/>
                <w:b w:val="1"/>
                <w:bCs w:val="1"/>
                <w:color w:val="auto"/>
              </w:rPr>
              <w:t>3,181</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3,252</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Amortization of prior service cost</w:t>
            </w:r>
          </w:p>
        </w:tc>
        <w:tc>
          <w:tcPr>
            <w:tcW w:w="240" w:type="dxa"/>
            <w:vAlign w:val="bottom"/>
          </w:tcPr>
          <w:p>
            <w:pPr>
              <w:spacing w:after="0"/>
              <w:rPr>
                <w:sz w:val="15"/>
                <w:szCs w:val="15"/>
                <w:color w:val="auto"/>
              </w:rPr>
            </w:pPr>
          </w:p>
        </w:tc>
        <w:tc>
          <w:tcPr>
            <w:tcW w:w="1240" w:type="dxa"/>
            <w:vAlign w:val="bottom"/>
          </w:tcPr>
          <w:p>
            <w:pPr>
              <w:jc w:val="right"/>
              <w:ind w:right="70"/>
              <w:spacing w:after="0"/>
              <w:rPr>
                <w:sz w:val="20"/>
                <w:szCs w:val="20"/>
                <w:color w:val="auto"/>
              </w:rPr>
            </w:pPr>
            <w:r>
              <w:rPr>
                <w:rFonts w:ascii="Arial" w:cs="Arial" w:eastAsia="Arial" w:hAnsi="Arial"/>
                <w:sz w:val="15"/>
                <w:szCs w:val="15"/>
                <w:b w:val="1"/>
                <w:bCs w:val="1"/>
                <w:color w:val="auto"/>
              </w:rPr>
              <w:t>14</w:t>
            </w:r>
          </w:p>
        </w:tc>
        <w:tc>
          <w:tcPr>
            <w:tcW w:w="320" w:type="dxa"/>
            <w:vAlign w:val="bottom"/>
          </w:tcPr>
          <w:p>
            <w:pPr>
              <w:spacing w:after="0"/>
              <w:rPr>
                <w:sz w:val="15"/>
                <w:szCs w:val="15"/>
                <w:color w:val="auto"/>
              </w:rPr>
            </w:pPr>
          </w:p>
        </w:tc>
        <w:tc>
          <w:tcPr>
            <w:tcW w:w="1260" w:type="dxa"/>
            <w:vAlign w:val="bottom"/>
          </w:tcPr>
          <w:p>
            <w:pPr>
              <w:jc w:val="right"/>
              <w:ind w:right="170"/>
              <w:spacing w:after="0"/>
              <w:rPr>
                <w:sz w:val="20"/>
                <w:szCs w:val="20"/>
                <w:color w:val="auto"/>
              </w:rPr>
            </w:pPr>
            <w:r>
              <w:rPr>
                <w:rFonts w:ascii="Arial" w:cs="Arial" w:eastAsia="Arial" w:hAnsi="Arial"/>
                <w:sz w:val="15"/>
                <w:szCs w:val="15"/>
                <w:color w:val="auto"/>
              </w:rPr>
              <w:t>65</w:t>
            </w:r>
          </w:p>
        </w:tc>
        <w:tc>
          <w:tcPr>
            <w:tcW w:w="160" w:type="dxa"/>
            <w:vAlign w:val="bottom"/>
          </w:tcPr>
          <w:p>
            <w:pPr>
              <w:spacing w:after="0"/>
              <w:rPr>
                <w:sz w:val="15"/>
                <w:szCs w:val="15"/>
                <w:color w:val="auto"/>
              </w:rPr>
            </w:pPr>
          </w:p>
        </w:tc>
        <w:tc>
          <w:tcPr>
            <w:tcW w:w="1220" w:type="dxa"/>
            <w:vAlign w:val="bottom"/>
          </w:tcPr>
          <w:p>
            <w:pPr>
              <w:jc w:val="right"/>
              <w:ind w:right="70"/>
              <w:spacing w:after="0"/>
              <w:rPr>
                <w:sz w:val="20"/>
                <w:szCs w:val="20"/>
                <w:color w:val="auto"/>
              </w:rPr>
            </w:pPr>
            <w:r>
              <w:rPr>
                <w:rFonts w:ascii="Arial" w:cs="Arial" w:eastAsia="Arial" w:hAnsi="Arial"/>
                <w:sz w:val="15"/>
                <w:szCs w:val="15"/>
                <w:b w:val="1"/>
                <w:bCs w:val="1"/>
                <w:color w:val="auto"/>
              </w:rPr>
              <w:t>41</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195</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Recognized actuarial loss</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b w:val="1"/>
                <w:bCs w:val="1"/>
                <w:color w:val="auto"/>
              </w:rPr>
              <w:t>458</w:t>
            </w: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5"/>
                <w:szCs w:val="15"/>
                <w:color w:val="auto"/>
              </w:rPr>
              <w:t>353</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5"/>
                <w:szCs w:val="15"/>
                <w:b w:val="1"/>
                <w:bCs w:val="1"/>
                <w:color w:val="auto"/>
              </w:rPr>
              <w:t>1,375</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1,059</w:t>
            </w: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b w:val="1"/>
                <w:bCs w:val="1"/>
                <w:color w:val="auto"/>
              </w:rPr>
              <w:t>Total Cost</w:t>
            </w: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70"/>
              <w:spacing w:after="0" w:line="167" w:lineRule="exact"/>
              <w:rPr>
                <w:sz w:val="20"/>
                <w:szCs w:val="20"/>
                <w:color w:val="auto"/>
              </w:rPr>
            </w:pPr>
            <w:r>
              <w:rPr>
                <w:rFonts w:ascii="Arial" w:cs="Arial" w:eastAsia="Arial" w:hAnsi="Arial"/>
                <w:sz w:val="15"/>
                <w:szCs w:val="15"/>
                <w:b w:val="1"/>
                <w:bCs w:val="1"/>
                <w:color w:val="auto"/>
              </w:rPr>
              <w:t>1,899</w:t>
            </w:r>
          </w:p>
        </w:tc>
        <w:tc>
          <w:tcPr>
            <w:tcW w:w="32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70"/>
              <w:spacing w:after="0" w:line="167" w:lineRule="exact"/>
              <w:rPr>
                <w:sz w:val="20"/>
                <w:szCs w:val="20"/>
                <w:color w:val="auto"/>
              </w:rPr>
            </w:pPr>
            <w:r>
              <w:rPr>
                <w:rFonts w:ascii="Arial" w:cs="Arial" w:eastAsia="Arial" w:hAnsi="Arial"/>
                <w:sz w:val="15"/>
                <w:szCs w:val="15"/>
                <w:color w:val="auto"/>
              </w:rPr>
              <w:t>1,882</w:t>
            </w:r>
          </w:p>
        </w:tc>
        <w:tc>
          <w:tcPr>
            <w:tcW w:w="1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70"/>
              <w:spacing w:after="0" w:line="167" w:lineRule="exact"/>
              <w:rPr>
                <w:sz w:val="20"/>
                <w:szCs w:val="20"/>
                <w:color w:val="auto"/>
              </w:rPr>
            </w:pPr>
            <w:r>
              <w:rPr>
                <w:rFonts w:ascii="Arial" w:cs="Arial" w:eastAsia="Arial" w:hAnsi="Arial"/>
                <w:sz w:val="15"/>
                <w:szCs w:val="15"/>
                <w:b w:val="1"/>
                <w:bCs w:val="1"/>
                <w:color w:val="auto"/>
              </w:rPr>
              <w:t>5,697</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5,646</w:t>
            </w:r>
          </w:p>
        </w:tc>
      </w:tr>
      <w:tr>
        <w:trPr>
          <w:trHeight w:val="20"/>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16" w:name="page17"/>
    <w:bookmarkEnd w:id="16"/>
    <w:p>
      <w:pPr>
        <w:ind w:right="100"/>
        <w:spacing w:after="0" w:line="286" w:lineRule="auto"/>
        <w:rPr>
          <w:sz w:val="20"/>
          <w:szCs w:val="20"/>
          <w:color w:val="auto"/>
        </w:rPr>
      </w:pPr>
      <w:r>
        <w:rPr>
          <w:rFonts w:ascii="Arial" w:cs="Arial" w:eastAsia="Arial" w:hAnsi="Arial"/>
          <w:sz w:val="16"/>
          <w:szCs w:val="16"/>
          <w:b w:val="1"/>
          <w:bCs w:val="1"/>
          <w:color w:val="auto"/>
        </w:rPr>
        <w:t>Defined Benefit Plan Assets</w:t>
      </w:r>
      <w:r>
        <w:rPr>
          <w:rFonts w:ascii="Arial" w:cs="Arial" w:eastAsia="Arial" w:hAnsi="Arial"/>
          <w:sz w:val="16"/>
          <w:szCs w:val="16"/>
          <w:color w:val="auto"/>
        </w:rPr>
        <w:t>. The Company’s defined benefit pension obligations are funded by a portfolio made up of a relatively small number of stocks</w:t>
      </w:r>
      <w:r>
        <w:rPr>
          <w:rFonts w:ascii="Arial" w:cs="Arial" w:eastAsia="Arial" w:hAnsi="Arial"/>
          <w:sz w:val="16"/>
          <w:szCs w:val="16"/>
          <w:b w:val="1"/>
          <w:bCs w:val="1"/>
          <w:color w:val="auto"/>
        </w:rPr>
        <w:t xml:space="preserve"> </w:t>
      </w:r>
      <w:r>
        <w:rPr>
          <w:rFonts w:ascii="Arial" w:cs="Arial" w:eastAsia="Arial" w:hAnsi="Arial"/>
          <w:sz w:val="16"/>
          <w:szCs w:val="16"/>
          <w:color w:val="auto"/>
        </w:rPr>
        <w:t>and high-quality fixed-income securities that are held by a third-party trustee. The assets of the Company’s pension plans were allocated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20" w:type="dxa"/>
            <w:vAlign w:val="bottom"/>
          </w:tcPr>
          <w:p>
            <w:pPr>
              <w:spacing w:after="0"/>
              <w:rPr>
                <w:sz w:val="12"/>
                <w:szCs w:val="12"/>
                <w:color w:val="auto"/>
              </w:rPr>
            </w:pPr>
          </w:p>
        </w:tc>
        <w:tc>
          <w:tcPr>
            <w:tcW w:w="1860" w:type="dxa"/>
            <w:vAlign w:val="bottom"/>
          </w:tcPr>
          <w:p>
            <w:pPr>
              <w:jc w:val="right"/>
              <w:ind w:right="570"/>
              <w:spacing w:after="0"/>
              <w:rPr>
                <w:sz w:val="20"/>
                <w:szCs w:val="20"/>
                <w:color w:val="auto"/>
              </w:rPr>
            </w:pPr>
            <w:r>
              <w:rPr>
                <w:rFonts w:ascii="Arial" w:cs="Arial" w:eastAsia="Arial" w:hAnsi="Arial"/>
                <w:sz w:val="12"/>
                <w:szCs w:val="12"/>
                <w:b w:val="1"/>
                <w:bCs w:val="1"/>
                <w:color w:val="auto"/>
              </w:rPr>
              <w:t>September 30,</w:t>
            </w:r>
          </w:p>
        </w:tc>
        <w:tc>
          <w:tcPr>
            <w:tcW w:w="1540" w:type="dxa"/>
            <w:vAlign w:val="bottom"/>
          </w:tcPr>
          <w:p>
            <w:pPr>
              <w:jc w:val="right"/>
              <w:ind w:right="330"/>
              <w:spacing w:after="0"/>
              <w:rPr>
                <w:sz w:val="20"/>
                <w:szCs w:val="20"/>
                <w:color w:val="auto"/>
              </w:rPr>
            </w:pPr>
            <w:r>
              <w:rPr>
                <w:rFonts w:ascii="Arial" w:cs="Arial" w:eastAsia="Arial" w:hAnsi="Arial"/>
                <w:sz w:val="12"/>
                <w:szCs w:val="12"/>
                <w:color w:val="auto"/>
              </w:rPr>
              <w:t>December 31,</w:t>
            </w:r>
          </w:p>
        </w:tc>
      </w:tr>
      <w:tr>
        <w:trPr>
          <w:trHeight w:val="151"/>
        </w:trPr>
        <w:tc>
          <w:tcPr>
            <w:tcW w:w="802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jc w:val="right"/>
              <w:ind w:right="870"/>
              <w:spacing w:after="0"/>
              <w:rPr>
                <w:sz w:val="20"/>
                <w:szCs w:val="20"/>
                <w:color w:val="auto"/>
              </w:rPr>
            </w:pPr>
            <w:r>
              <w:rPr>
                <w:rFonts w:ascii="Arial" w:cs="Arial" w:eastAsia="Arial" w:hAnsi="Arial"/>
                <w:sz w:val="12"/>
                <w:szCs w:val="12"/>
                <w:b w:val="1"/>
                <w:bCs w:val="1"/>
                <w:color w:val="auto"/>
              </w:rPr>
              <w:t>2012</w:t>
            </w:r>
          </w:p>
        </w:tc>
        <w:tc>
          <w:tcPr>
            <w:tcW w:w="154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color w:val="auto"/>
              </w:rPr>
              <w:t>2011</w:t>
            </w:r>
          </w:p>
        </w:tc>
      </w:tr>
      <w:tr>
        <w:trPr>
          <w:trHeight w:val="150"/>
        </w:trPr>
        <w:tc>
          <w:tcPr>
            <w:tcW w:w="8020" w:type="dxa"/>
            <w:vAlign w:val="bottom"/>
          </w:tcPr>
          <w:p>
            <w:pPr>
              <w:spacing w:after="0" w:line="150" w:lineRule="exact"/>
              <w:rPr>
                <w:sz w:val="20"/>
                <w:szCs w:val="20"/>
                <w:color w:val="auto"/>
              </w:rPr>
            </w:pPr>
            <w:r>
              <w:rPr>
                <w:rFonts w:ascii="Arial" w:cs="Arial" w:eastAsia="Arial" w:hAnsi="Arial"/>
                <w:sz w:val="15"/>
                <w:szCs w:val="15"/>
                <w:color w:val="auto"/>
              </w:rPr>
              <w:t>U.S. equities</w:t>
            </w:r>
          </w:p>
        </w:tc>
        <w:tc>
          <w:tcPr>
            <w:tcW w:w="1860" w:type="dxa"/>
            <w:vAlign w:val="bottom"/>
          </w:tcPr>
          <w:p>
            <w:pPr>
              <w:jc w:val="right"/>
              <w:ind w:right="290"/>
              <w:spacing w:after="0" w:line="150" w:lineRule="exact"/>
              <w:rPr>
                <w:sz w:val="20"/>
                <w:szCs w:val="20"/>
                <w:color w:val="auto"/>
              </w:rPr>
            </w:pPr>
            <w:r>
              <w:rPr>
                <w:rFonts w:ascii="Arial" w:cs="Arial" w:eastAsia="Arial" w:hAnsi="Arial"/>
                <w:sz w:val="15"/>
                <w:szCs w:val="15"/>
                <w:b w:val="1"/>
                <w:bCs w:val="1"/>
                <w:color w:val="auto"/>
              </w:rPr>
              <w:t>66 %</w:t>
            </w:r>
          </w:p>
        </w:tc>
        <w:tc>
          <w:tcPr>
            <w:tcW w:w="1540" w:type="dxa"/>
            <w:vAlign w:val="bottom"/>
          </w:tcPr>
          <w:p>
            <w:pPr>
              <w:jc w:val="right"/>
              <w:ind w:right="10"/>
              <w:spacing w:after="0" w:line="150" w:lineRule="exact"/>
              <w:rPr>
                <w:sz w:val="20"/>
                <w:szCs w:val="20"/>
                <w:color w:val="auto"/>
              </w:rPr>
            </w:pPr>
            <w:r>
              <w:rPr>
                <w:rFonts w:ascii="Arial" w:cs="Arial" w:eastAsia="Arial" w:hAnsi="Arial"/>
                <w:sz w:val="15"/>
                <w:szCs w:val="15"/>
                <w:color w:val="auto"/>
              </w:rPr>
              <w:t>69 %</w:t>
            </w:r>
          </w:p>
        </w:tc>
      </w:tr>
      <w:tr>
        <w:trPr>
          <w:trHeight w:val="174"/>
        </w:trPr>
        <w:tc>
          <w:tcPr>
            <w:tcW w:w="8020" w:type="dxa"/>
            <w:vAlign w:val="bottom"/>
          </w:tcPr>
          <w:p>
            <w:pPr>
              <w:spacing w:after="0"/>
              <w:rPr>
                <w:sz w:val="20"/>
                <w:szCs w:val="20"/>
                <w:color w:val="auto"/>
              </w:rPr>
            </w:pPr>
            <w:r>
              <w:rPr>
                <w:rFonts w:ascii="Arial" w:cs="Arial" w:eastAsia="Arial" w:hAnsi="Arial"/>
                <w:sz w:val="15"/>
                <w:szCs w:val="15"/>
                <w:color w:val="auto"/>
              </w:rPr>
              <w:t>U.S. fixed income</w:t>
            </w:r>
          </w:p>
        </w:tc>
        <w:tc>
          <w:tcPr>
            <w:tcW w:w="1860" w:type="dxa"/>
            <w:vAlign w:val="bottom"/>
          </w:tcPr>
          <w:p>
            <w:pPr>
              <w:jc w:val="right"/>
              <w:ind w:right="290"/>
              <w:spacing w:after="0"/>
              <w:rPr>
                <w:sz w:val="20"/>
                <w:szCs w:val="20"/>
                <w:color w:val="auto"/>
              </w:rPr>
            </w:pPr>
            <w:r>
              <w:rPr>
                <w:rFonts w:ascii="Arial" w:cs="Arial" w:eastAsia="Arial" w:hAnsi="Arial"/>
                <w:sz w:val="15"/>
                <w:szCs w:val="15"/>
                <w:b w:val="1"/>
                <w:bCs w:val="1"/>
                <w:color w:val="auto"/>
              </w:rPr>
              <w:t>12 %</w:t>
            </w:r>
          </w:p>
        </w:tc>
        <w:tc>
          <w:tcPr>
            <w:tcW w:w="1540" w:type="dxa"/>
            <w:vAlign w:val="bottom"/>
          </w:tcPr>
          <w:p>
            <w:pPr>
              <w:jc w:val="right"/>
              <w:ind w:right="10"/>
              <w:spacing w:after="0"/>
              <w:rPr>
                <w:sz w:val="20"/>
                <w:szCs w:val="20"/>
                <w:color w:val="auto"/>
              </w:rPr>
            </w:pPr>
            <w:r>
              <w:rPr>
                <w:rFonts w:ascii="Arial" w:cs="Arial" w:eastAsia="Arial" w:hAnsi="Arial"/>
                <w:sz w:val="15"/>
                <w:szCs w:val="15"/>
                <w:color w:val="auto"/>
              </w:rPr>
              <w:t>10 %</w:t>
            </w:r>
          </w:p>
        </w:tc>
      </w:tr>
      <w:tr>
        <w:trPr>
          <w:trHeight w:val="190"/>
        </w:trPr>
        <w:tc>
          <w:tcPr>
            <w:tcW w:w="8020" w:type="dxa"/>
            <w:vAlign w:val="bottom"/>
          </w:tcPr>
          <w:p>
            <w:pPr>
              <w:spacing w:after="0"/>
              <w:rPr>
                <w:sz w:val="20"/>
                <w:szCs w:val="20"/>
                <w:color w:val="auto"/>
              </w:rPr>
            </w:pPr>
            <w:r>
              <w:rPr>
                <w:rFonts w:ascii="Arial" w:cs="Arial" w:eastAsia="Arial" w:hAnsi="Arial"/>
                <w:sz w:val="15"/>
                <w:szCs w:val="15"/>
                <w:color w:val="auto"/>
              </w:rPr>
              <w:t>International equities</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b w:val="1"/>
                <w:bCs w:val="1"/>
                <w:color w:val="auto"/>
              </w:rPr>
              <w:t>22 %</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21 %</w:t>
            </w:r>
          </w:p>
        </w:tc>
      </w:tr>
      <w:tr>
        <w:trPr>
          <w:trHeight w:val="166"/>
        </w:trPr>
        <w:tc>
          <w:tcPr>
            <w:tcW w:w="8020" w:type="dxa"/>
            <w:vAlign w:val="bottom"/>
          </w:tcPr>
          <w:p>
            <w:pPr>
              <w:spacing w:after="0"/>
              <w:rPr>
                <w:sz w:val="14"/>
                <w:szCs w:val="14"/>
                <w:color w:val="auto"/>
              </w:rPr>
            </w:pPr>
          </w:p>
        </w:tc>
        <w:tc>
          <w:tcPr>
            <w:tcW w:w="1860" w:type="dxa"/>
            <w:vAlign w:val="bottom"/>
            <w:tcBorders>
              <w:bottom w:val="single" w:sz="8" w:color="auto"/>
            </w:tcBorders>
          </w:tcPr>
          <w:p>
            <w:pPr>
              <w:jc w:val="right"/>
              <w:ind w:right="290"/>
              <w:spacing w:after="0" w:line="167" w:lineRule="exact"/>
              <w:rPr>
                <w:sz w:val="20"/>
                <w:szCs w:val="20"/>
                <w:color w:val="auto"/>
              </w:rPr>
            </w:pPr>
            <w:r>
              <w:rPr>
                <w:rFonts w:ascii="Arial" w:cs="Arial" w:eastAsia="Arial" w:hAnsi="Arial"/>
                <w:sz w:val="15"/>
                <w:szCs w:val="15"/>
                <w:b w:val="1"/>
                <w:bCs w:val="1"/>
                <w:color w:val="auto"/>
              </w:rPr>
              <w:t>100 %</w:t>
            </w:r>
          </w:p>
        </w:tc>
        <w:tc>
          <w:tcPr>
            <w:tcW w:w="154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color w:val="auto"/>
              </w:rPr>
              <w:t>100 %</w:t>
            </w:r>
          </w:p>
        </w:tc>
      </w:tr>
      <w:tr>
        <w:trPr>
          <w:trHeight w:val="20"/>
        </w:trPr>
        <w:tc>
          <w:tcPr>
            <w:tcW w:w="80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Essentially all of the assets are actively managed by two investment companies. The goal of the investment managers is to produce moderate long-term growth in the value of these assets, while protecting them against large decreases in value. Both of these managers may invest in a combination of equity and fixed-income securities and cash. The managers are not permitted to invest in securities of the Company or in alternative investments. The investment managers cannot invest more than 20% of the assets at the time of purchase in the stock of Berkshire Hathaway or more than 10% of the assets in the securities of any other single issuer, except for obligations of the U.S. Government, without receiving prior approval by the Plan administrator. As of September 30, 2012, the managers can invest no more than 24% of the assets in international stocks at the time the investment is made, and no less than 10% of the assets could be invested in fixed-income securities. None of the assets is managed internally by the Company.</w:t>
      </w:r>
    </w:p>
    <w:p>
      <w:pPr>
        <w:spacing w:after="0" w:line="178"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In determining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175"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The Company evaluated its defined benefit pension plan asset portfolio for the existence of significant concentrations (defined as greater than 10% of plan assets) of credit risk as of September 30, 2012. Types of concentrations that were evaluated include, but are not limited to, investment concentrations in a single entity, type of industry, foreign country and individual fund. At September 30, 2012 the Company held common stock in one investment which exceeded 10% of total plan assets. This investment was valued at $206.3 million and $222.4 million at September 30, 2012 and December 31, 2011, respectively, or approximately 10% and 12%, respectively, of total plan assets. Assets also included $178.1 million and $154.0 million of Berkshire Hathaway common stock at September 30, 2012 and December 31, 2011, respectively. At September 30, 2012 the Company held investments in one foreign country which exceeded 10% of total plan assets. These investments were valued at $222.6 million and $241.4 million at September 30, 2012 and December 31, 2011, respectively, or approximately 11% and 13%, respectively, of total plan assets.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Postretirement Plans</w:t>
      </w:r>
      <w:r>
        <w:rPr>
          <w:rFonts w:ascii="Arial" w:cs="Arial" w:eastAsia="Arial" w:hAnsi="Arial"/>
          <w:sz w:val="17"/>
          <w:szCs w:val="17"/>
          <w:color w:val="auto"/>
        </w:rPr>
        <w:t>. The total benefit arising from the Company’s other postretirement plans consists of the following components: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789"/>
              <w:spacing w:after="0"/>
              <w:rPr>
                <w:sz w:val="20"/>
                <w:szCs w:val="20"/>
                <w:color w:val="auto"/>
              </w:rPr>
            </w:pPr>
            <w:r>
              <w:rPr>
                <w:rFonts w:ascii="Arial" w:cs="Arial" w:eastAsia="Arial" w:hAnsi="Arial"/>
                <w:sz w:val="12"/>
                <w:szCs w:val="12"/>
                <w:b w:val="1"/>
                <w:bCs w:val="1"/>
                <w:color w:val="auto"/>
              </w:rPr>
              <w:t>Three Months Ended</w:t>
            </w:r>
          </w:p>
        </w:tc>
        <w:tc>
          <w:tcPr>
            <w:tcW w:w="3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2"/>
                <w:szCs w:val="12"/>
                <w:b w:val="1"/>
                <w:bCs w:val="1"/>
                <w:color w:val="auto"/>
              </w:rPr>
              <w:t>Nine Months Ended</w:t>
            </w:r>
          </w:p>
        </w:tc>
      </w:tr>
      <w:tr>
        <w:trPr>
          <w:trHeight w:val="114"/>
        </w:trPr>
        <w:tc>
          <w:tcPr>
            <w:tcW w:w="5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230"/>
              <w:spacing w:after="0" w:line="114" w:lineRule="exact"/>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9"/>
                <w:szCs w:val="9"/>
                <w:color w:val="auto"/>
              </w:rPr>
            </w:pPr>
          </w:p>
        </w:tc>
        <w:tc>
          <w:tcPr>
            <w:tcW w:w="1100" w:type="dxa"/>
            <w:vAlign w:val="bottom"/>
          </w:tcPr>
          <w:p>
            <w:pPr>
              <w:jc w:val="right"/>
              <w:ind w:right="369"/>
              <w:spacing w:after="0" w:line="114" w:lineRule="exact"/>
              <w:rPr>
                <w:sz w:val="20"/>
                <w:szCs w:val="20"/>
                <w:color w:val="auto"/>
              </w:rPr>
            </w:pPr>
            <w:r>
              <w:rPr>
                <w:rFonts w:ascii="Arial" w:cs="Arial" w:eastAsia="Arial" w:hAnsi="Arial"/>
                <w:sz w:val="12"/>
                <w:szCs w:val="12"/>
                <w:color w:val="auto"/>
              </w:rPr>
              <w:t>October 2,</w:t>
            </w:r>
          </w:p>
        </w:tc>
        <w:tc>
          <w:tcPr>
            <w:tcW w:w="320" w:type="dxa"/>
            <w:vAlign w:val="bottom"/>
          </w:tcPr>
          <w:p>
            <w:pPr>
              <w:spacing w:after="0"/>
              <w:rPr>
                <w:sz w:val="9"/>
                <w:szCs w:val="9"/>
                <w:color w:val="auto"/>
              </w:rPr>
            </w:pPr>
          </w:p>
        </w:tc>
        <w:tc>
          <w:tcPr>
            <w:tcW w:w="1160" w:type="dxa"/>
            <w:vAlign w:val="bottom"/>
          </w:tcPr>
          <w:p>
            <w:pPr>
              <w:jc w:val="right"/>
              <w:ind w:right="230"/>
              <w:spacing w:after="0" w:line="114" w:lineRule="exact"/>
              <w:rPr>
                <w:sz w:val="20"/>
                <w:szCs w:val="20"/>
                <w:color w:val="auto"/>
              </w:rPr>
            </w:pPr>
            <w:r>
              <w:rPr>
                <w:rFonts w:ascii="Arial" w:cs="Arial" w:eastAsia="Arial" w:hAnsi="Arial"/>
                <w:sz w:val="12"/>
                <w:szCs w:val="12"/>
                <w:b w:val="1"/>
                <w:bCs w:val="1"/>
                <w:color w:val="auto"/>
              </w:rPr>
              <w:t>September 30,</w:t>
            </w:r>
          </w:p>
        </w:tc>
        <w:tc>
          <w:tcPr>
            <w:tcW w:w="340" w:type="dxa"/>
            <w:vAlign w:val="bottom"/>
          </w:tcPr>
          <w:p>
            <w:pPr>
              <w:spacing w:after="0"/>
              <w:rPr>
                <w:sz w:val="9"/>
                <w:szCs w:val="9"/>
                <w:color w:val="auto"/>
              </w:rPr>
            </w:pPr>
          </w:p>
        </w:tc>
        <w:tc>
          <w:tcPr>
            <w:tcW w:w="960" w:type="dxa"/>
            <w:vAlign w:val="bottom"/>
          </w:tcPr>
          <w:p>
            <w:pPr>
              <w:jc w:val="right"/>
              <w:ind w:right="249"/>
              <w:spacing w:after="0" w:line="114" w:lineRule="exact"/>
              <w:rPr>
                <w:sz w:val="20"/>
                <w:szCs w:val="20"/>
                <w:color w:val="auto"/>
              </w:rPr>
            </w:pPr>
            <w:r>
              <w:rPr>
                <w:rFonts w:ascii="Arial" w:cs="Arial" w:eastAsia="Arial" w:hAnsi="Arial"/>
                <w:sz w:val="12"/>
                <w:szCs w:val="12"/>
                <w:color w:val="auto"/>
              </w:rPr>
              <w:t>October 2,</w:t>
            </w:r>
          </w:p>
        </w:tc>
      </w:tr>
      <w:tr>
        <w:trPr>
          <w:trHeight w:val="151"/>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2012</w:t>
            </w: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color w:val="auto"/>
              </w:rPr>
              <w:t>2011</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color w:val="auto"/>
              </w:rPr>
              <w:t>Service cost</w:t>
            </w:r>
          </w:p>
        </w:tc>
        <w:tc>
          <w:tcPr>
            <w:tcW w:w="160" w:type="dxa"/>
            <w:vAlign w:val="bottom"/>
            <w:gridSpan w:val="2"/>
          </w:tcPr>
          <w:p>
            <w:pPr>
              <w:jc w:val="right"/>
              <w:ind w:right="32"/>
              <w:spacing w:after="0" w:line="150" w:lineRule="exact"/>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778</w:t>
            </w:r>
          </w:p>
        </w:tc>
        <w:tc>
          <w:tcPr>
            <w:tcW w:w="380" w:type="dxa"/>
            <w:vAlign w:val="bottom"/>
          </w:tcPr>
          <w:p>
            <w:pPr>
              <w:jc w:val="right"/>
              <w:ind w:right="6"/>
              <w:spacing w:after="0" w:line="150" w:lineRule="exact"/>
              <w:rPr>
                <w:sz w:val="20"/>
                <w:szCs w:val="20"/>
                <w:color w:val="auto"/>
              </w:rPr>
            </w:pPr>
            <w:r>
              <w:rPr>
                <w:rFonts w:ascii="Arial" w:cs="Arial" w:eastAsia="Arial" w:hAnsi="Arial"/>
                <w:sz w:val="15"/>
                <w:szCs w:val="15"/>
                <w:color w:val="auto"/>
              </w:rPr>
              <w:t>$</w:t>
            </w:r>
          </w:p>
        </w:tc>
        <w:tc>
          <w:tcPr>
            <w:tcW w:w="1100" w:type="dxa"/>
            <w:vAlign w:val="bottom"/>
          </w:tcPr>
          <w:p>
            <w:pPr>
              <w:jc w:val="right"/>
              <w:ind w:right="9"/>
              <w:spacing w:after="0" w:line="150" w:lineRule="exact"/>
              <w:rPr>
                <w:sz w:val="20"/>
                <w:szCs w:val="20"/>
                <w:color w:val="auto"/>
              </w:rPr>
            </w:pPr>
            <w:r>
              <w:rPr>
                <w:rFonts w:ascii="Arial" w:cs="Arial" w:eastAsia="Arial" w:hAnsi="Arial"/>
                <w:sz w:val="15"/>
                <w:szCs w:val="15"/>
                <w:color w:val="auto"/>
              </w:rPr>
              <w:t>718</w:t>
            </w:r>
          </w:p>
        </w:tc>
        <w:tc>
          <w:tcPr>
            <w:tcW w:w="3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16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2,335</w:t>
            </w:r>
          </w:p>
        </w:tc>
        <w:tc>
          <w:tcPr>
            <w:tcW w:w="340" w:type="dxa"/>
            <w:vAlign w:val="bottom"/>
          </w:tcPr>
          <w:p>
            <w:pPr>
              <w:jc w:val="right"/>
              <w:spacing w:after="0" w:line="150" w:lineRule="exact"/>
              <w:rPr>
                <w:sz w:val="20"/>
                <w:szCs w:val="20"/>
                <w:color w:val="auto"/>
              </w:rPr>
            </w:pPr>
            <w:r>
              <w:rPr>
                <w:rFonts w:ascii="Arial" w:cs="Arial" w:eastAsia="Arial" w:hAnsi="Arial"/>
                <w:sz w:val="15"/>
                <w:szCs w:val="15"/>
                <w:color w:val="auto"/>
              </w:rPr>
              <w:t>$</w:t>
            </w:r>
          </w:p>
        </w:tc>
        <w:tc>
          <w:tcPr>
            <w:tcW w:w="960" w:type="dxa"/>
            <w:vAlign w:val="bottom"/>
          </w:tcPr>
          <w:p>
            <w:pPr>
              <w:jc w:val="right"/>
              <w:spacing w:after="0" w:line="150" w:lineRule="exact"/>
              <w:rPr>
                <w:sz w:val="20"/>
                <w:szCs w:val="20"/>
                <w:color w:val="auto"/>
              </w:rPr>
            </w:pPr>
            <w:r>
              <w:rPr>
                <w:rFonts w:ascii="Arial" w:cs="Arial" w:eastAsia="Arial" w:hAnsi="Arial"/>
                <w:sz w:val="15"/>
                <w:szCs w:val="15"/>
                <w:color w:val="auto"/>
              </w:rPr>
              <w:t>2,154</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Interest cost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b w:val="1"/>
                <w:bCs w:val="1"/>
                <w:color w:val="auto"/>
              </w:rPr>
              <w:t>684</w:t>
            </w:r>
          </w:p>
        </w:tc>
        <w:tc>
          <w:tcPr>
            <w:tcW w:w="3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5"/>
                <w:szCs w:val="15"/>
                <w:color w:val="auto"/>
              </w:rPr>
              <w:t>766</w:t>
            </w:r>
          </w:p>
        </w:tc>
        <w:tc>
          <w:tcPr>
            <w:tcW w:w="3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b w:val="1"/>
                <w:bCs w:val="1"/>
                <w:color w:val="auto"/>
              </w:rPr>
              <w:t>2,052</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2,297</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Amortization of prior service credit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b w:val="1"/>
                <w:bCs w:val="1"/>
                <w:color w:val="auto"/>
              </w:rPr>
              <w:t>(1,402)</w:t>
            </w:r>
          </w:p>
        </w:tc>
        <w:tc>
          <w:tcPr>
            <w:tcW w:w="380" w:type="dxa"/>
            <w:vAlign w:val="bottom"/>
          </w:tcPr>
          <w:p>
            <w:pPr>
              <w:spacing w:after="0"/>
              <w:rPr>
                <w:sz w:val="15"/>
                <w:szCs w:val="15"/>
                <w:color w:val="auto"/>
              </w:rPr>
            </w:pPr>
          </w:p>
        </w:tc>
        <w:tc>
          <w:tcPr>
            <w:tcW w:w="1100" w:type="dxa"/>
            <w:vAlign w:val="bottom"/>
          </w:tcPr>
          <w:p>
            <w:pPr>
              <w:jc w:val="right"/>
              <w:ind w:right="9"/>
              <w:spacing w:after="0"/>
              <w:rPr>
                <w:sz w:val="20"/>
                <w:szCs w:val="20"/>
                <w:color w:val="auto"/>
              </w:rPr>
            </w:pPr>
            <w:r>
              <w:rPr>
                <w:rFonts w:ascii="Arial" w:cs="Arial" w:eastAsia="Arial" w:hAnsi="Arial"/>
                <w:sz w:val="15"/>
                <w:szCs w:val="15"/>
                <w:color w:val="auto"/>
              </w:rPr>
              <w:t>(1,412)</w:t>
            </w:r>
          </w:p>
        </w:tc>
        <w:tc>
          <w:tcPr>
            <w:tcW w:w="320" w:type="dxa"/>
            <w:vAlign w:val="bottom"/>
          </w:tcPr>
          <w:p>
            <w:pPr>
              <w:spacing w:after="0"/>
              <w:rPr>
                <w:sz w:val="15"/>
                <w:szCs w:val="15"/>
                <w:color w:val="auto"/>
              </w:rPr>
            </w:pPr>
          </w:p>
        </w:tc>
        <w:tc>
          <w:tcPr>
            <w:tcW w:w="1160" w:type="dxa"/>
            <w:vAlign w:val="bottom"/>
          </w:tcPr>
          <w:p>
            <w:pPr>
              <w:jc w:val="right"/>
              <w:ind w:right="10"/>
              <w:spacing w:after="0"/>
              <w:rPr>
                <w:sz w:val="20"/>
                <w:szCs w:val="20"/>
                <w:color w:val="auto"/>
              </w:rPr>
            </w:pPr>
            <w:r>
              <w:rPr>
                <w:rFonts w:ascii="Arial" w:cs="Arial" w:eastAsia="Arial" w:hAnsi="Arial"/>
                <w:sz w:val="15"/>
                <w:szCs w:val="15"/>
                <w:b w:val="1"/>
                <w:bCs w:val="1"/>
                <w:color w:val="auto"/>
              </w:rPr>
              <w:t>(4,206)</w:t>
            </w:r>
          </w:p>
        </w:tc>
        <w:tc>
          <w:tcPr>
            <w:tcW w:w="3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(4,237)</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Recognized actuarial gain</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(370)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(481)</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(1,110)</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(1,441)</w:t>
            </w:r>
          </w:p>
        </w:tc>
      </w:tr>
      <w:tr>
        <w:trPr>
          <w:trHeight w:val="166"/>
        </w:trPr>
        <w:tc>
          <w:tcPr>
            <w:tcW w:w="5740" w:type="dxa"/>
            <w:vAlign w:val="bottom"/>
          </w:tcPr>
          <w:p>
            <w:pPr>
              <w:spacing w:after="0" w:line="167" w:lineRule="exact"/>
              <w:rPr>
                <w:sz w:val="20"/>
                <w:szCs w:val="20"/>
                <w:color w:val="auto"/>
              </w:rPr>
            </w:pPr>
            <w:r>
              <w:rPr>
                <w:rFonts w:ascii="Arial" w:cs="Arial" w:eastAsia="Arial" w:hAnsi="Arial"/>
                <w:sz w:val="15"/>
                <w:szCs w:val="15"/>
                <w:b w:val="1"/>
                <w:bCs w:val="1"/>
                <w:color w:val="auto"/>
              </w:rPr>
              <w:t>Total Periodic Benefit</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(310)</w:t>
            </w:r>
          </w:p>
        </w:tc>
        <w:tc>
          <w:tcPr>
            <w:tcW w:w="3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(409)</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(929)</w:t>
            </w:r>
          </w:p>
        </w:tc>
        <w:tc>
          <w:tcPr>
            <w:tcW w:w="34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(1,227)</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51" w:right="23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9. OTHER NON-OPERATING INCOME (EXPENSE)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A summary of non-operating income (expense)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3"/>
          </w:tcPr>
          <w:p>
            <w:pPr>
              <w:jc w:val="right"/>
              <w:ind w:right="789"/>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3"/>
          </w:tcPr>
          <w:p>
            <w:pPr>
              <w:jc w:val="right"/>
              <w:ind w:right="709"/>
              <w:spacing w:after="0"/>
              <w:rPr>
                <w:sz w:val="20"/>
                <w:szCs w:val="20"/>
                <w:color w:val="auto"/>
              </w:rPr>
            </w:pPr>
            <w:r>
              <w:rPr>
                <w:rFonts w:ascii="Arial" w:cs="Arial" w:eastAsia="Arial" w:hAnsi="Arial"/>
                <w:sz w:val="12"/>
                <w:szCs w:val="12"/>
                <w:b w:val="1"/>
                <w:bCs w:val="1"/>
                <w:color w:val="auto"/>
              </w:rPr>
              <w:t>Nine Months Ended</w:t>
            </w:r>
          </w:p>
        </w:tc>
      </w:tr>
      <w:tr>
        <w:trPr>
          <w:trHeight w:val="114"/>
        </w:trPr>
        <w:tc>
          <w:tcPr>
            <w:tcW w:w="5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right"/>
              <w:ind w:right="230"/>
              <w:spacing w:after="0" w:line="114" w:lineRule="exact"/>
              <w:rPr>
                <w:sz w:val="20"/>
                <w:szCs w:val="20"/>
                <w:color w:val="auto"/>
              </w:rPr>
            </w:pPr>
            <w:r>
              <w:rPr>
                <w:rFonts w:ascii="Arial" w:cs="Arial" w:eastAsia="Arial" w:hAnsi="Arial"/>
                <w:sz w:val="12"/>
                <w:szCs w:val="12"/>
                <w:b w:val="1"/>
                <w:bCs w:val="1"/>
                <w:color w:val="auto"/>
              </w:rPr>
              <w:t>September 30,</w:t>
            </w:r>
          </w:p>
        </w:tc>
        <w:tc>
          <w:tcPr>
            <w:tcW w:w="320" w:type="dxa"/>
            <w:vAlign w:val="bottom"/>
          </w:tcPr>
          <w:p>
            <w:pPr>
              <w:spacing w:after="0"/>
              <w:rPr>
                <w:sz w:val="9"/>
                <w:szCs w:val="9"/>
                <w:color w:val="auto"/>
              </w:rPr>
            </w:pPr>
          </w:p>
        </w:tc>
        <w:tc>
          <w:tcPr>
            <w:tcW w:w="1160" w:type="dxa"/>
            <w:vAlign w:val="bottom"/>
          </w:tcPr>
          <w:p>
            <w:pPr>
              <w:jc w:val="right"/>
              <w:ind w:right="369"/>
              <w:spacing w:after="0" w:line="114" w:lineRule="exact"/>
              <w:rPr>
                <w:sz w:val="20"/>
                <w:szCs w:val="20"/>
                <w:color w:val="auto"/>
              </w:rPr>
            </w:pPr>
            <w:r>
              <w:rPr>
                <w:rFonts w:ascii="Arial" w:cs="Arial" w:eastAsia="Arial" w:hAnsi="Arial"/>
                <w:sz w:val="12"/>
                <w:szCs w:val="12"/>
                <w:color w:val="auto"/>
              </w:rPr>
              <w:t>October 2,</w:t>
            </w:r>
          </w:p>
        </w:tc>
        <w:tc>
          <w:tcPr>
            <w:tcW w:w="240" w:type="dxa"/>
            <w:vAlign w:val="bottom"/>
          </w:tcPr>
          <w:p>
            <w:pPr>
              <w:spacing w:after="0"/>
              <w:rPr>
                <w:sz w:val="9"/>
                <w:szCs w:val="9"/>
                <w:color w:val="auto"/>
              </w:rPr>
            </w:pPr>
          </w:p>
        </w:tc>
        <w:tc>
          <w:tcPr>
            <w:tcW w:w="1240" w:type="dxa"/>
            <w:vAlign w:val="bottom"/>
          </w:tcPr>
          <w:p>
            <w:pPr>
              <w:jc w:val="right"/>
              <w:ind w:right="230"/>
              <w:spacing w:after="0" w:line="114"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9"/>
                <w:szCs w:val="9"/>
                <w:color w:val="auto"/>
              </w:rPr>
            </w:pPr>
          </w:p>
        </w:tc>
        <w:tc>
          <w:tcPr>
            <w:tcW w:w="1020" w:type="dxa"/>
            <w:vAlign w:val="bottom"/>
          </w:tcPr>
          <w:p>
            <w:pPr>
              <w:jc w:val="right"/>
              <w:ind w:right="249"/>
              <w:spacing w:after="0" w:line="114" w:lineRule="exact"/>
              <w:rPr>
                <w:sz w:val="20"/>
                <w:szCs w:val="20"/>
                <w:color w:val="auto"/>
              </w:rPr>
            </w:pPr>
            <w:r>
              <w:rPr>
                <w:rFonts w:ascii="Arial" w:cs="Arial" w:eastAsia="Arial" w:hAnsi="Arial"/>
                <w:sz w:val="12"/>
                <w:szCs w:val="12"/>
                <w:color w:val="auto"/>
              </w:rPr>
              <w:t>October 2,</w:t>
            </w:r>
          </w:p>
        </w:tc>
      </w:tr>
      <w:tr>
        <w:trPr>
          <w:trHeight w:val="151"/>
        </w:trPr>
        <w:tc>
          <w:tcPr>
            <w:tcW w:w="57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2012</w:t>
            </w: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9"/>
              <w:spacing w:after="0"/>
              <w:rPr>
                <w:sz w:val="20"/>
                <w:szCs w:val="20"/>
                <w:color w:val="auto"/>
              </w:rPr>
            </w:pPr>
            <w:r>
              <w:rPr>
                <w:rFonts w:ascii="Arial" w:cs="Arial" w:eastAsia="Arial" w:hAnsi="Arial"/>
                <w:sz w:val="12"/>
                <w:szCs w:val="12"/>
                <w:color w:val="auto"/>
              </w:rPr>
              <w:t>2011</w:t>
            </w: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color w:val="auto"/>
              </w:rPr>
              <w:t>2011</w:t>
            </w:r>
          </w:p>
        </w:tc>
      </w:tr>
      <w:tr>
        <w:trPr>
          <w:trHeight w:val="150"/>
        </w:trPr>
        <w:tc>
          <w:tcPr>
            <w:tcW w:w="5740" w:type="dxa"/>
            <w:vAlign w:val="bottom"/>
          </w:tcPr>
          <w:p>
            <w:pPr>
              <w:spacing w:after="0" w:line="150" w:lineRule="exact"/>
              <w:rPr>
                <w:sz w:val="20"/>
                <w:szCs w:val="20"/>
                <w:color w:val="auto"/>
              </w:rPr>
            </w:pPr>
            <w:r>
              <w:rPr>
                <w:rFonts w:ascii="Arial" w:cs="Arial" w:eastAsia="Arial" w:hAnsi="Arial"/>
                <w:sz w:val="15"/>
                <w:szCs w:val="15"/>
                <w:color w:val="auto"/>
              </w:rPr>
              <w:t>Foreign exchange gain (loss)</w:t>
            </w:r>
          </w:p>
        </w:tc>
        <w:tc>
          <w:tcPr>
            <w:tcW w:w="160" w:type="dxa"/>
            <w:vAlign w:val="bottom"/>
            <w:gridSpan w:val="2"/>
          </w:tcPr>
          <w:p>
            <w:pPr>
              <w:jc w:val="right"/>
              <w:ind w:right="32"/>
              <w:spacing w:after="0" w:line="150" w:lineRule="exact"/>
              <w:rPr>
                <w:sz w:val="20"/>
                <w:szCs w:val="20"/>
                <w:color w:val="auto"/>
              </w:rPr>
            </w:pPr>
            <w:r>
              <w:rPr>
                <w:rFonts w:ascii="Arial" w:cs="Arial" w:eastAsia="Arial" w:hAnsi="Arial"/>
                <w:sz w:val="15"/>
                <w:szCs w:val="15"/>
                <w:b w:val="1"/>
                <w:bCs w:val="1"/>
                <w:color w:val="auto"/>
                <w:w w:val="71"/>
              </w:rPr>
              <w:t>$</w:t>
            </w:r>
          </w:p>
        </w:tc>
        <w:tc>
          <w:tcPr>
            <w:tcW w:w="126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3,111</w:t>
            </w:r>
          </w:p>
        </w:tc>
        <w:tc>
          <w:tcPr>
            <w:tcW w:w="320" w:type="dxa"/>
            <w:vAlign w:val="bottom"/>
          </w:tcPr>
          <w:p>
            <w:pPr>
              <w:jc w:val="right"/>
              <w:ind w:right="86"/>
              <w:spacing w:after="0" w:line="150" w:lineRule="exact"/>
              <w:rPr>
                <w:sz w:val="20"/>
                <w:szCs w:val="20"/>
                <w:color w:val="auto"/>
              </w:rPr>
            </w:pPr>
            <w:r>
              <w:rPr>
                <w:rFonts w:ascii="Arial" w:cs="Arial" w:eastAsia="Arial" w:hAnsi="Arial"/>
                <w:sz w:val="15"/>
                <w:szCs w:val="15"/>
                <w:color w:val="auto"/>
              </w:rPr>
              <w:t>$</w:t>
            </w:r>
          </w:p>
        </w:tc>
        <w:tc>
          <w:tcPr>
            <w:tcW w:w="1160" w:type="dxa"/>
            <w:vAlign w:val="bottom"/>
          </w:tcPr>
          <w:p>
            <w:pPr>
              <w:jc w:val="right"/>
              <w:ind w:right="9"/>
              <w:spacing w:after="0" w:line="150" w:lineRule="exact"/>
              <w:rPr>
                <w:sz w:val="20"/>
                <w:szCs w:val="20"/>
                <w:color w:val="auto"/>
              </w:rPr>
            </w:pPr>
            <w:r>
              <w:rPr>
                <w:rFonts w:ascii="Arial" w:cs="Arial" w:eastAsia="Arial" w:hAnsi="Arial"/>
                <w:sz w:val="15"/>
                <w:szCs w:val="15"/>
                <w:color w:val="auto"/>
              </w:rPr>
              <w:t>(6,707)</w:t>
            </w:r>
          </w:p>
        </w:tc>
        <w:tc>
          <w:tcPr>
            <w:tcW w:w="240" w:type="dxa"/>
            <w:vAlign w:val="bottom"/>
          </w:tcPr>
          <w:p>
            <w:pPr>
              <w:jc w:val="right"/>
              <w:ind w:right="6"/>
              <w:spacing w:after="0" w:line="150" w:lineRule="exact"/>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0"/>
              <w:spacing w:after="0" w:line="150" w:lineRule="exact"/>
              <w:rPr>
                <w:sz w:val="20"/>
                <w:szCs w:val="20"/>
                <w:color w:val="auto"/>
              </w:rPr>
            </w:pPr>
            <w:r>
              <w:rPr>
                <w:rFonts w:ascii="Arial" w:cs="Arial" w:eastAsia="Arial" w:hAnsi="Arial"/>
                <w:sz w:val="15"/>
                <w:szCs w:val="15"/>
                <w:b w:val="1"/>
                <w:bCs w:val="1"/>
                <w:color w:val="auto"/>
              </w:rPr>
              <w:t>3,179</w:t>
            </w:r>
          </w:p>
        </w:tc>
        <w:tc>
          <w:tcPr>
            <w:tcW w:w="280" w:type="dxa"/>
            <w:vAlign w:val="bottom"/>
          </w:tcPr>
          <w:p>
            <w:pPr>
              <w:jc w:val="right"/>
              <w:ind w:right="46"/>
              <w:spacing w:after="0" w:line="150" w:lineRule="exact"/>
              <w:rPr>
                <w:sz w:val="20"/>
                <w:szCs w:val="20"/>
                <w:color w:val="auto"/>
              </w:rPr>
            </w:pPr>
            <w:r>
              <w:rPr>
                <w:rFonts w:ascii="Arial" w:cs="Arial" w:eastAsia="Arial" w:hAnsi="Arial"/>
                <w:sz w:val="15"/>
                <w:szCs w:val="15"/>
                <w:color w:val="auto"/>
              </w:rPr>
              <w:t>$</w:t>
            </w:r>
          </w:p>
        </w:tc>
        <w:tc>
          <w:tcPr>
            <w:tcW w:w="1020" w:type="dxa"/>
            <w:vAlign w:val="bottom"/>
          </w:tcPr>
          <w:p>
            <w:pPr>
              <w:jc w:val="right"/>
              <w:spacing w:after="0" w:line="150" w:lineRule="exact"/>
              <w:rPr>
                <w:sz w:val="20"/>
                <w:szCs w:val="20"/>
                <w:color w:val="auto"/>
              </w:rPr>
            </w:pPr>
            <w:r>
              <w:rPr>
                <w:rFonts w:ascii="Arial" w:cs="Arial" w:eastAsia="Arial" w:hAnsi="Arial"/>
                <w:sz w:val="15"/>
                <w:szCs w:val="15"/>
                <w:color w:val="auto"/>
              </w:rPr>
              <w:t>(3,675)</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Impairment write-down on a cost method investment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b w:val="1"/>
                <w:bCs w:val="1"/>
                <w:color w:val="auto"/>
              </w:rPr>
              <w:t>(112)</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(231)</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5"/>
                <w:szCs w:val="15"/>
                <w:b w:val="1"/>
                <w:bCs w:val="1"/>
                <w:color w:val="auto"/>
              </w:rPr>
              <w:t>(498)</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(3,379)</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Gain on sales of cost method investments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5"/>
                <w:szCs w:val="15"/>
                <w:b w:val="1"/>
                <w:bCs w:val="1"/>
                <w:color w:val="auto"/>
              </w:rPr>
              <w:t>7,258</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4,031</w:t>
            </w:r>
          </w:p>
        </w:tc>
      </w:tr>
      <w:tr>
        <w:trPr>
          <w:trHeight w:val="174"/>
        </w:trPr>
        <w:tc>
          <w:tcPr>
            <w:tcW w:w="5740" w:type="dxa"/>
            <w:vAlign w:val="bottom"/>
          </w:tcPr>
          <w:p>
            <w:pPr>
              <w:spacing w:after="0"/>
              <w:rPr>
                <w:sz w:val="20"/>
                <w:szCs w:val="20"/>
                <w:color w:val="auto"/>
              </w:rPr>
            </w:pPr>
            <w:r>
              <w:rPr>
                <w:rFonts w:ascii="Arial" w:cs="Arial" w:eastAsia="Arial" w:hAnsi="Arial"/>
                <w:sz w:val="15"/>
                <w:szCs w:val="15"/>
                <w:color w:val="auto"/>
              </w:rPr>
              <w:t>Impairment write-down of a marketable equity security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5"/>
                <w:szCs w:val="15"/>
                <w:color w:val="auto"/>
              </w:rPr>
            </w:pPr>
          </w:p>
        </w:tc>
        <w:tc>
          <w:tcPr>
            <w:tcW w:w="1160" w:type="dxa"/>
            <w:vAlign w:val="bottom"/>
          </w:tcPr>
          <w:p>
            <w:pPr>
              <w:jc w:val="right"/>
              <w:ind w:right="9"/>
              <w:spacing w:after="0"/>
              <w:rPr>
                <w:sz w:val="20"/>
                <w:szCs w:val="20"/>
                <w:color w:val="auto"/>
              </w:rPr>
            </w:pPr>
            <w:r>
              <w:rPr>
                <w:rFonts w:ascii="Arial" w:cs="Arial" w:eastAsia="Arial" w:hAnsi="Arial"/>
                <w:sz w:val="15"/>
                <w:szCs w:val="15"/>
                <w:color w:val="auto"/>
              </w:rPr>
              <w:t>(23,097)</w:t>
            </w:r>
          </w:p>
        </w:tc>
        <w:tc>
          <w:tcPr>
            <w:tcW w:w="240" w:type="dxa"/>
            <w:vAlign w:val="bottom"/>
          </w:tcPr>
          <w:p>
            <w:pPr>
              <w:spacing w:after="0"/>
              <w:rPr>
                <w:sz w:val="15"/>
                <w:szCs w:val="15"/>
                <w:color w:val="auto"/>
              </w:rPr>
            </w:pPr>
          </w:p>
        </w:tc>
        <w:tc>
          <w:tcPr>
            <w:tcW w:w="1240" w:type="dxa"/>
            <w:vAlign w:val="bottom"/>
          </w:tcPr>
          <w:p>
            <w:pPr>
              <w:jc w:val="right"/>
              <w:ind w:right="1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(53,793)</w:t>
            </w:r>
          </w:p>
        </w:tc>
      </w:tr>
      <w:tr>
        <w:trPr>
          <w:trHeight w:val="190"/>
        </w:trPr>
        <w:tc>
          <w:tcPr>
            <w:tcW w:w="5740" w:type="dxa"/>
            <w:vAlign w:val="bottom"/>
          </w:tcPr>
          <w:p>
            <w:pPr>
              <w:spacing w:after="0"/>
              <w:rPr>
                <w:sz w:val="20"/>
                <w:szCs w:val="20"/>
                <w:color w:val="auto"/>
              </w:rPr>
            </w:pPr>
            <w:r>
              <w:rPr>
                <w:rFonts w:ascii="Arial" w:cs="Arial" w:eastAsia="Arial" w:hAnsi="Arial"/>
                <w:sz w:val="15"/>
                <w:szCs w:val="15"/>
                <w:color w:val="auto"/>
              </w:rPr>
              <w:t>Other, net</w:t>
            </w: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1,164</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385</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b w:val="1"/>
                <w:bCs w:val="1"/>
                <w:color w:val="auto"/>
              </w:rPr>
              <w:t>2,177</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w:t>
            </w:r>
          </w:p>
        </w:tc>
      </w:tr>
      <w:tr>
        <w:trPr>
          <w:trHeight w:val="166"/>
        </w:trPr>
        <w:tc>
          <w:tcPr>
            <w:tcW w:w="5740" w:type="dxa"/>
            <w:vAlign w:val="bottom"/>
          </w:tcPr>
          <w:p>
            <w:pPr>
              <w:ind w:left="240"/>
              <w:spacing w:after="0" w:line="167" w:lineRule="exact"/>
              <w:rPr>
                <w:sz w:val="20"/>
                <w:szCs w:val="20"/>
                <w:color w:val="auto"/>
              </w:rPr>
            </w:pPr>
            <w:r>
              <w:rPr>
                <w:rFonts w:ascii="Arial" w:cs="Arial" w:eastAsia="Arial" w:hAnsi="Arial"/>
                <w:sz w:val="15"/>
                <w:szCs w:val="15"/>
                <w:b w:val="1"/>
                <w:bCs w:val="1"/>
                <w:color w:val="auto"/>
              </w:rPr>
              <w:t>Total Other Non-Operating Income (Expense)</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ind w:right="32"/>
              <w:spacing w:after="0"/>
              <w:rPr>
                <w:sz w:val="20"/>
                <w:szCs w:val="20"/>
                <w:color w:val="auto"/>
              </w:rPr>
            </w:pPr>
            <w:r>
              <w:rPr>
                <w:rFonts w:ascii="Arial" w:cs="Arial" w:eastAsia="Arial" w:hAnsi="Arial"/>
                <w:sz w:val="10"/>
                <w:szCs w:val="10"/>
                <w:b w:val="1"/>
                <w:bCs w:val="1"/>
                <w:color w:val="auto"/>
                <w:w w:val="71"/>
              </w:rPr>
              <w:t>$</w:t>
            </w:r>
          </w:p>
        </w:tc>
        <w:tc>
          <w:tcPr>
            <w:tcW w:w="126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4,163</w:t>
            </w:r>
          </w:p>
        </w:tc>
        <w:tc>
          <w:tcPr>
            <w:tcW w:w="32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9"/>
              <w:spacing w:after="0" w:line="167" w:lineRule="exact"/>
              <w:rPr>
                <w:sz w:val="20"/>
                <w:szCs w:val="20"/>
                <w:color w:val="auto"/>
              </w:rPr>
            </w:pPr>
            <w:r>
              <w:rPr>
                <w:rFonts w:ascii="Arial" w:cs="Arial" w:eastAsia="Arial" w:hAnsi="Arial"/>
                <w:sz w:val="15"/>
                <w:szCs w:val="15"/>
                <w:color w:val="auto"/>
              </w:rPr>
              <w:t>(29,650)</w:t>
            </w:r>
          </w:p>
        </w:tc>
        <w:tc>
          <w:tcPr>
            <w:tcW w:w="2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0"/>
              <w:spacing w:after="0" w:line="167" w:lineRule="exact"/>
              <w:rPr>
                <w:sz w:val="20"/>
                <w:szCs w:val="20"/>
                <w:color w:val="auto"/>
              </w:rPr>
            </w:pPr>
            <w:r>
              <w:rPr>
                <w:rFonts w:ascii="Arial" w:cs="Arial" w:eastAsia="Arial" w:hAnsi="Arial"/>
                <w:sz w:val="15"/>
                <w:szCs w:val="15"/>
                <w:b w:val="1"/>
                <w:bCs w:val="1"/>
                <w:color w:val="auto"/>
              </w:rPr>
              <w:t>12,116</w:t>
            </w:r>
          </w:p>
        </w:tc>
        <w:tc>
          <w:tcPr>
            <w:tcW w:w="28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(56,273)</w:t>
            </w:r>
          </w:p>
        </w:tc>
      </w:tr>
      <w:tr>
        <w:trPr>
          <w:trHeight w:val="20"/>
        </w:trPr>
        <w:tc>
          <w:tcPr>
            <w:tcW w:w="5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CONTINGENCIES</w:t>
      </w:r>
    </w:p>
    <w:p>
      <w:pPr>
        <w:spacing w:after="0" w:line="177" w:lineRule="exact"/>
        <w:rPr>
          <w:sz w:val="20"/>
          <w:szCs w:val="20"/>
          <w:color w:val="auto"/>
        </w:rPr>
      </w:pPr>
    </w:p>
    <w:p>
      <w:pPr>
        <w:spacing w:after="0" w:line="253" w:lineRule="auto"/>
        <w:rPr>
          <w:sz w:val="20"/>
          <w:szCs w:val="20"/>
          <w:color w:val="auto"/>
        </w:rPr>
      </w:pPr>
      <w:r>
        <w:rPr>
          <w:rFonts w:ascii="Arial" w:cs="Arial" w:eastAsia="Arial" w:hAnsi="Arial"/>
          <w:sz w:val="16"/>
          <w:szCs w:val="16"/>
          <w:b w:val="1"/>
          <w:bCs w:val="1"/>
          <w:color w:val="auto"/>
        </w:rPr>
        <w:t xml:space="preserve">Litigation and Legal Matters. </w:t>
      </w:r>
      <w:r>
        <w:rPr>
          <w:rFonts w:ascii="Arial" w:cs="Arial" w:eastAsia="Arial" w:hAnsi="Arial"/>
          <w:sz w:val="16"/>
          <w:szCs w:val="16"/>
          <w:color w:val="auto"/>
        </w:rPr>
        <w:t>The Company is involved in various legal proceedings that arise in the ordinary course of its business. Although the outcome</w:t>
      </w:r>
      <w:r>
        <w:rPr>
          <w:rFonts w:ascii="Arial" w:cs="Arial" w:eastAsia="Arial" w:hAnsi="Arial"/>
          <w:sz w:val="16"/>
          <w:szCs w:val="16"/>
          <w:b w:val="1"/>
          <w:bCs w:val="1"/>
          <w:color w:val="auto"/>
        </w:rPr>
        <w:t xml:space="preserve"> </w:t>
      </w:r>
      <w:r>
        <w:rPr>
          <w:rFonts w:ascii="Arial" w:cs="Arial" w:eastAsia="Arial" w:hAnsi="Arial"/>
          <w:sz w:val="16"/>
          <w:szCs w:val="16"/>
          <w:color w:val="auto"/>
        </w:rPr>
        <w:t>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Also, based on currently available information, management is of the opinion that the exposure to future material losses from existing legal proceedings is not reasonably possible, or that future material losses in excess of the amounts accrued are not reasonably possible.</w:t>
      </w:r>
    </w:p>
    <w:p>
      <w:pPr>
        <w:spacing w:after="0" w:line="147" w:lineRule="exact"/>
        <w:rPr>
          <w:sz w:val="20"/>
          <w:szCs w:val="20"/>
          <w:color w:val="auto"/>
        </w:rPr>
      </w:pPr>
    </w:p>
    <w:p>
      <w:pPr>
        <w:spacing w:after="0" w:line="251" w:lineRule="auto"/>
        <w:rPr>
          <w:sz w:val="20"/>
          <w:szCs w:val="20"/>
          <w:color w:val="auto"/>
        </w:rPr>
      </w:pPr>
      <w:r>
        <w:rPr>
          <w:rFonts w:ascii="Arial" w:cs="Arial" w:eastAsia="Arial" w:hAnsi="Arial"/>
          <w:sz w:val="16"/>
          <w:szCs w:val="16"/>
          <w:b w:val="1"/>
          <w:bCs w:val="1"/>
          <w:color w:val="auto"/>
        </w:rPr>
        <w:t xml:space="preserve">DOE Program Reviews. </w:t>
      </w:r>
      <w:r>
        <w:rPr>
          <w:rFonts w:ascii="Arial" w:cs="Arial" w:eastAsia="Arial" w:hAnsi="Arial"/>
          <w:sz w:val="16"/>
          <w:szCs w:val="16"/>
          <w:color w:val="auto"/>
        </w:rPr>
        <w:t>The U.S. Department of Education (DOE) undertakes program reviews at Title IV participating institutions. Currently, there is</w:t>
      </w:r>
      <w:r>
        <w:rPr>
          <w:rFonts w:ascii="Arial" w:cs="Arial" w:eastAsia="Arial" w:hAnsi="Arial"/>
          <w:sz w:val="16"/>
          <w:szCs w:val="16"/>
          <w:b w:val="1"/>
          <w:bCs w:val="1"/>
          <w:color w:val="auto"/>
        </w:rPr>
        <w:t xml:space="preserve"> </w:t>
      </w:r>
      <w:r>
        <w:rPr>
          <w:rFonts w:ascii="Arial" w:cs="Arial" w:eastAsia="Arial" w:hAnsi="Arial"/>
          <w:sz w:val="16"/>
          <w:szCs w:val="16"/>
          <w:color w:val="auto"/>
        </w:rPr>
        <w:t>pending program review activity at Kaplan University and one open review at KHE’s Broomall, PA location. In May 2012, the DOE issued a preliminary report on its 2009 onsite program review at Kaplan University. Several of the preliminary findings require Kaplan University to conduct additional, detailed file reviews, with Kaplan University’s review and response due in January 2013. In August 2012, the DOE notified Kaplan University that it was conducting an offsite program review focused on more recent years and the DOE began this review in September 2012. In addition, the Company is awaiting the DOE’s final report on the program review at KHE’s Broomall, PA, location. The results of these open reviews and their impact on Kaplan’s operations are uncertain.</w:t>
      </w:r>
    </w:p>
    <w:p>
      <w:pPr>
        <w:spacing w:after="0" w:line="149"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In June 2012, the Accrediting Commission of Career Schools and Colleges (ACCSC), a KHE accreditor, issued a notice to three campuses</w:t>
      </w:r>
      <w:r>
        <w:rPr>
          <w:rFonts w:ascii="Arial" w:cs="Arial" w:eastAsia="Arial" w:hAnsi="Arial"/>
          <w:sz w:val="16"/>
          <w:szCs w:val="16"/>
          <w:b w:val="1"/>
          <w:bCs w:val="1"/>
          <w:color w:val="auto"/>
        </w:rPr>
        <w:t xml:space="preserve"> </w:t>
      </w:r>
      <w:r>
        <w:rPr>
          <w:rFonts w:ascii="Arial" w:cs="Arial" w:eastAsia="Arial" w:hAnsi="Arial"/>
          <w:sz w:val="16"/>
          <w:szCs w:val="16"/>
          <w:color w:val="auto"/>
        </w:rPr>
        <w:t>(Baltimore, Dayton and Indianapolis Northwest), to “show cause” as to why their accreditation should not be withdrawn for failure to meet certain student achievement threshold requirements. These campuses represent approximately 2% of KHE’s year-to-date revenue for 2012. Each of these campuses failed to meet student placement thresholds or student graduation rate thresholds or both in some programs or aggregated over all programs. The Baltimore and Dayton campuses responded in September 2012, providing their plans to improve these rates and come into compliance with the ACCSC standards. The Indianapolis Northwest responded in October 2012, indicating that this campus will be closing and consolidating into an existing campus, also in Indianapolis. KHE cannot be certain that its remedial measures will satisfy all of ACCSC's concerns; in the event that ACCSC determines that some or all of these campuses may lose accreditation, a loss of accreditation would mean that the school would no longer be eligible to participate in Title IV programs and may also lose programmatic accreditation necessary for students to obtain licensure and/or employment in specific professions.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FAIR VALUE MEASUREMENTS</w:t>
      </w:r>
    </w:p>
    <w:p>
      <w:pPr>
        <w:spacing w:after="0" w:line="197"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particular input to the fair value measurements requires judgment and may affect the valuation of the assets and liabilities being measured and their placement within the fair value hierarchy.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789" w:right="239" w:bottom="1440" w:gutter="0" w:footer="0" w:header="0"/>
        </w:sectPr>
      </w:pPr>
    </w:p>
    <w:bookmarkStart w:id="18" w:name="page19"/>
    <w:bookmarkEnd w:id="18"/>
    <w:p>
      <w:pPr>
        <w:ind w:left="1"/>
        <w:spacing w:after="0"/>
        <w:rPr>
          <w:sz w:val="20"/>
          <w:szCs w:val="20"/>
          <w:color w:val="auto"/>
        </w:rPr>
      </w:pPr>
      <w:r>
        <w:rPr>
          <w:rFonts w:ascii="Arial" w:cs="Arial" w:eastAsia="Arial" w:hAnsi="Arial"/>
          <w:sz w:val="17"/>
          <w:szCs w:val="17"/>
          <w:color w:val="auto"/>
        </w:rPr>
        <w:t>The Company’s financial assets and liabilities measured at fair value on a recurring basis were as follows:</w:t>
      </w:r>
    </w:p>
    <w:p>
      <w:pPr>
        <w:spacing w:after="0" w:line="213" w:lineRule="exact"/>
        <w:rPr>
          <w:sz w:val="20"/>
          <w:szCs w:val="20"/>
          <w:color w:val="auto"/>
        </w:rPr>
      </w:pPr>
    </w:p>
    <w:tbl>
      <w:tblPr>
        <w:tblLayout w:type="fixed"/>
        <w:tblInd w:w="1" w:type="dxa"/>
        <w:tblCellMar>
          <w:top w:w="0" w:type="dxa"/>
          <w:left w:w="0" w:type="dxa"/>
          <w:bottom w:w="0" w:type="dxa"/>
          <w:right w:w="0" w:type="dxa"/>
        </w:tblCellMar>
      </w:tblPr>
      <w:tr>
        <w:trPr>
          <w:trHeight w:val="151"/>
        </w:trPr>
        <w:tc>
          <w:tcPr>
            <w:tcW w:w="71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1</w:t>
            </w: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06"/>
              <w:spacing w:after="0"/>
              <w:rPr>
                <w:sz w:val="20"/>
                <w:szCs w:val="20"/>
                <w:color w:val="auto"/>
              </w:rPr>
            </w:pPr>
            <w:r>
              <w:rPr>
                <w:rFonts w:ascii="Arial" w:cs="Arial" w:eastAsia="Arial" w:hAnsi="Arial"/>
                <w:sz w:val="12"/>
                <w:szCs w:val="12"/>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6"/>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89"/>
        </w:trPr>
        <w:tc>
          <w:tcPr>
            <w:tcW w:w="7120" w:type="dxa"/>
            <w:vAlign w:val="bottom"/>
          </w:tcPr>
          <w:p>
            <w:pPr>
              <w:spacing w:after="0"/>
              <w:rPr>
                <w:sz w:val="20"/>
                <w:szCs w:val="20"/>
                <w:color w:val="auto"/>
              </w:rPr>
            </w:pPr>
            <w:r>
              <w:rPr>
                <w:rFonts w:ascii="Arial" w:cs="Arial" w:eastAsia="Arial" w:hAnsi="Arial"/>
                <w:sz w:val="15"/>
                <w:szCs w:val="15"/>
                <w:b w:val="1"/>
                <w:bCs w:val="1"/>
                <w:color w:val="auto"/>
              </w:rPr>
              <w:t>At September 30, 2012</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20" w:type="dxa"/>
            <w:vAlign w:val="bottom"/>
          </w:tcPr>
          <w:p>
            <w:pPr>
              <w:ind w:left="240"/>
              <w:spacing w:after="0" w:line="258"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6"/>
                <w:szCs w:val="26"/>
                <w:color w:val="auto"/>
                <w:vertAlign w:val="superscript"/>
              </w:rPr>
              <w:t>(1)</w:t>
            </w:r>
          </w:p>
        </w:tc>
        <w:tc>
          <w:tcPr>
            <w:tcW w:w="3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160,217</w:t>
            </w:r>
          </w:p>
        </w:tc>
        <w:tc>
          <w:tcPr>
            <w:tcW w:w="38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160,217</w:t>
            </w:r>
          </w:p>
        </w:tc>
        <w:tc>
          <w:tcPr>
            <w:tcW w:w="0" w:type="dxa"/>
            <w:vAlign w:val="bottom"/>
          </w:tcPr>
          <w:p>
            <w:pPr>
              <w:spacing w:after="0"/>
              <w:rPr>
                <w:sz w:val="1"/>
                <w:szCs w:val="1"/>
                <w:color w:val="auto"/>
              </w:rPr>
            </w:pPr>
          </w:p>
        </w:tc>
      </w:tr>
      <w:tr>
        <w:trPr>
          <w:trHeight w:val="236"/>
        </w:trPr>
        <w:tc>
          <w:tcPr>
            <w:tcW w:w="7120" w:type="dxa"/>
            <w:vAlign w:val="bottom"/>
          </w:tcPr>
          <w:p>
            <w:pPr>
              <w:ind w:left="240"/>
              <w:spacing w:after="0" w:line="236"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6"/>
                <w:szCs w:val="26"/>
                <w:color w:val="auto"/>
                <w:vertAlign w:val="superscript"/>
              </w:rPr>
              <w:t>(3)</w:t>
            </w:r>
          </w:p>
        </w:tc>
        <w:tc>
          <w:tcPr>
            <w:tcW w:w="34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379,928</w:t>
            </w:r>
          </w:p>
        </w:tc>
        <w:tc>
          <w:tcPr>
            <w:tcW w:w="3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379,928</w:t>
            </w:r>
          </w:p>
        </w:tc>
        <w:tc>
          <w:tcPr>
            <w:tcW w:w="0" w:type="dxa"/>
            <w:vAlign w:val="bottom"/>
          </w:tcPr>
          <w:p>
            <w:pPr>
              <w:spacing w:after="0"/>
              <w:rPr>
                <w:sz w:val="1"/>
                <w:szCs w:val="1"/>
                <w:color w:val="auto"/>
              </w:rPr>
            </w:pPr>
          </w:p>
        </w:tc>
      </w:tr>
      <w:tr>
        <w:trPr>
          <w:trHeight w:val="231"/>
        </w:trPr>
        <w:tc>
          <w:tcPr>
            <w:tcW w:w="7120" w:type="dxa"/>
            <w:vAlign w:val="bottom"/>
          </w:tcPr>
          <w:p>
            <w:pPr>
              <w:ind w:left="240"/>
              <w:spacing w:after="0" w:line="231"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6"/>
                <w:szCs w:val="26"/>
                <w:color w:val="auto"/>
                <w:vertAlign w:val="superscript"/>
              </w:rPr>
              <w:t>(4)</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22,115</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22,234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44,349</w:t>
            </w:r>
          </w:p>
        </w:tc>
        <w:tc>
          <w:tcPr>
            <w:tcW w:w="0" w:type="dxa"/>
            <w:vAlign w:val="bottom"/>
          </w:tcPr>
          <w:p>
            <w:pPr>
              <w:spacing w:after="0"/>
              <w:rPr>
                <w:sz w:val="1"/>
                <w:szCs w:val="1"/>
                <w:color w:val="auto"/>
              </w:rPr>
            </w:pPr>
          </w:p>
        </w:tc>
      </w:tr>
      <w:tr>
        <w:trPr>
          <w:trHeight w:val="166"/>
        </w:trPr>
        <w:tc>
          <w:tcPr>
            <w:tcW w:w="7120" w:type="dxa"/>
            <w:vAlign w:val="bottom"/>
          </w:tcPr>
          <w:p>
            <w:pPr>
              <w:ind w:left="480"/>
              <w:spacing w:after="0" w:line="167" w:lineRule="exact"/>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402,043</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182,451</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584,494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120" w:type="dxa"/>
            <w:vAlign w:val="bottom"/>
          </w:tcPr>
          <w:p>
            <w:pPr>
              <w:ind w:left="240"/>
              <w:spacing w:after="0" w:line="258"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6"/>
                <w:szCs w:val="26"/>
                <w:color w:val="auto"/>
                <w:vertAlign w:val="superscript"/>
              </w:rPr>
              <w:t>(6)</w:t>
            </w:r>
          </w:p>
        </w:tc>
        <w:tc>
          <w:tcPr>
            <w:tcW w:w="34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46"/>
              <w:spacing w:after="0"/>
              <w:rPr>
                <w:sz w:val="20"/>
                <w:szCs w:val="20"/>
                <w:color w:val="auto"/>
              </w:rPr>
            </w:pPr>
            <w:r>
              <w:rPr>
                <w:rFonts w:ascii="Arial" w:cs="Arial" w:eastAsia="Arial" w:hAnsi="Arial"/>
                <w:sz w:val="15"/>
                <w:szCs w:val="15"/>
                <w:b w:val="1"/>
                <w:bCs w:val="1"/>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60,996</w:t>
            </w:r>
          </w:p>
        </w:tc>
        <w:tc>
          <w:tcPr>
            <w:tcW w:w="380" w:type="dxa"/>
            <w:vAlign w:val="bottom"/>
          </w:tcPr>
          <w:p>
            <w:pPr>
              <w:jc w:val="right"/>
              <w:ind w:right="86"/>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60,996</w:t>
            </w:r>
          </w:p>
        </w:tc>
        <w:tc>
          <w:tcPr>
            <w:tcW w:w="0" w:type="dxa"/>
            <w:vAlign w:val="bottom"/>
          </w:tcPr>
          <w:p>
            <w:pPr>
              <w:spacing w:after="0"/>
              <w:rPr>
                <w:sz w:val="1"/>
                <w:szCs w:val="1"/>
                <w:color w:val="auto"/>
              </w:rPr>
            </w:pPr>
          </w:p>
        </w:tc>
      </w:tr>
      <w:tr>
        <w:trPr>
          <w:trHeight w:val="236"/>
        </w:trPr>
        <w:tc>
          <w:tcPr>
            <w:tcW w:w="7120" w:type="dxa"/>
            <w:vAlign w:val="bottom"/>
          </w:tcPr>
          <w:p>
            <w:pPr>
              <w:ind w:left="240"/>
              <w:spacing w:after="0" w:line="236"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6"/>
                <w:szCs w:val="26"/>
                <w:color w:val="auto"/>
                <w:vertAlign w:val="superscript"/>
              </w:rPr>
              <w:t>(7)</w:t>
            </w:r>
          </w:p>
        </w:tc>
        <w:tc>
          <w:tcPr>
            <w:tcW w:w="34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485,164</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485,164</w:t>
            </w:r>
          </w:p>
        </w:tc>
        <w:tc>
          <w:tcPr>
            <w:tcW w:w="0" w:type="dxa"/>
            <w:vAlign w:val="bottom"/>
          </w:tcPr>
          <w:p>
            <w:pPr>
              <w:spacing w:after="0"/>
              <w:rPr>
                <w:sz w:val="1"/>
                <w:szCs w:val="1"/>
                <w:color w:val="auto"/>
              </w:rPr>
            </w:pPr>
          </w:p>
        </w:tc>
      </w:tr>
      <w:tr>
        <w:trPr>
          <w:trHeight w:val="236"/>
        </w:trPr>
        <w:tc>
          <w:tcPr>
            <w:tcW w:w="7120" w:type="dxa"/>
            <w:vAlign w:val="bottom"/>
          </w:tcPr>
          <w:p>
            <w:pPr>
              <w:ind w:left="240"/>
              <w:spacing w:after="0" w:line="236" w:lineRule="exact"/>
              <w:rPr>
                <w:sz w:val="20"/>
                <w:szCs w:val="20"/>
                <w:color w:val="auto"/>
              </w:rPr>
            </w:pPr>
            <w:r>
              <w:rPr>
                <w:rFonts w:ascii="Arial" w:cs="Arial" w:eastAsia="Arial" w:hAnsi="Arial"/>
                <w:sz w:val="15"/>
                <w:szCs w:val="15"/>
                <w:color w:val="auto"/>
              </w:rPr>
              <w:t>AUD 50M borrowing</w:t>
            </w:r>
            <w:r>
              <w:rPr>
                <w:rFonts w:ascii="Arial" w:cs="Arial" w:eastAsia="Arial" w:hAnsi="Arial"/>
                <w:sz w:val="26"/>
                <w:szCs w:val="26"/>
                <w:color w:val="auto"/>
                <w:vertAlign w:val="superscript"/>
              </w:rPr>
              <w:t>(7)</w:t>
            </w:r>
          </w:p>
        </w:tc>
        <w:tc>
          <w:tcPr>
            <w:tcW w:w="34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b w:val="1"/>
                <w:bCs w:val="1"/>
                <w:color w:val="auto"/>
              </w:rPr>
              <w:t>51,877</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b w:val="1"/>
                <w:bCs w:val="1"/>
                <w:color w:val="auto"/>
              </w:rPr>
              <w:t>51,877</w:t>
            </w:r>
          </w:p>
        </w:tc>
        <w:tc>
          <w:tcPr>
            <w:tcW w:w="0" w:type="dxa"/>
            <w:vAlign w:val="bottom"/>
          </w:tcPr>
          <w:p>
            <w:pPr>
              <w:spacing w:after="0"/>
              <w:rPr>
                <w:sz w:val="1"/>
                <w:szCs w:val="1"/>
                <w:color w:val="auto"/>
              </w:rPr>
            </w:pPr>
          </w:p>
        </w:tc>
      </w:tr>
      <w:tr>
        <w:trPr>
          <w:trHeight w:val="231"/>
        </w:trPr>
        <w:tc>
          <w:tcPr>
            <w:tcW w:w="7120" w:type="dxa"/>
            <w:vAlign w:val="bottom"/>
          </w:tcPr>
          <w:p>
            <w:pPr>
              <w:ind w:left="240"/>
              <w:spacing w:after="0" w:line="231" w:lineRule="exact"/>
              <w:rPr>
                <w:sz w:val="20"/>
                <w:szCs w:val="20"/>
                <w:color w:val="auto"/>
              </w:rPr>
            </w:pPr>
            <w:r>
              <w:rPr>
                <w:rFonts w:ascii="Arial" w:cs="Arial" w:eastAsia="Arial" w:hAnsi="Arial"/>
                <w:sz w:val="15"/>
                <w:szCs w:val="15"/>
                <w:color w:val="auto"/>
              </w:rPr>
              <w:t>Interest rate swap</w:t>
            </w:r>
            <w:r>
              <w:rPr>
                <w:rFonts w:ascii="Arial" w:cs="Arial" w:eastAsia="Arial" w:hAnsi="Arial"/>
                <w:sz w:val="26"/>
                <w:szCs w:val="26"/>
                <w:color w:val="auto"/>
                <w:vertAlign w:val="superscript"/>
              </w:rPr>
              <w:t>(8)</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b w:val="1"/>
                <w:bCs w:val="1"/>
                <w:color w:val="auto"/>
              </w:rPr>
              <w:t>1,146</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1,146</w:t>
            </w:r>
          </w:p>
        </w:tc>
        <w:tc>
          <w:tcPr>
            <w:tcW w:w="0" w:type="dxa"/>
            <w:vAlign w:val="bottom"/>
          </w:tcPr>
          <w:p>
            <w:pPr>
              <w:spacing w:after="0"/>
              <w:rPr>
                <w:sz w:val="1"/>
                <w:szCs w:val="1"/>
                <w:color w:val="auto"/>
              </w:rPr>
            </w:pPr>
          </w:p>
        </w:tc>
      </w:tr>
      <w:tr>
        <w:trPr>
          <w:trHeight w:val="166"/>
        </w:trPr>
        <w:tc>
          <w:tcPr>
            <w:tcW w:w="7120" w:type="dxa"/>
            <w:vAlign w:val="bottom"/>
          </w:tcPr>
          <w:p>
            <w:pPr>
              <w:ind w:left="480"/>
              <w:spacing w:after="0" w:line="167" w:lineRule="exact"/>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jc w:val="right"/>
              <w:ind w:right="46"/>
              <w:spacing w:after="0" w:line="167" w:lineRule="exact"/>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b w:val="1"/>
                <w:bCs w:val="1"/>
                <w:color w:val="auto"/>
              </w:rPr>
              <w:t>599,183</w:t>
            </w:r>
          </w:p>
        </w:tc>
        <w:tc>
          <w:tcPr>
            <w:tcW w:w="380" w:type="dxa"/>
            <w:vAlign w:val="bottom"/>
            <w:tcBorders>
              <w:bottom w:val="single" w:sz="8" w:color="auto"/>
            </w:tcBorders>
          </w:tcPr>
          <w:p>
            <w:pPr>
              <w:jc w:val="right"/>
              <w:ind w:right="86"/>
              <w:spacing w:after="0" w:line="167"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599,183</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At December 31, 2011</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7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7120" w:type="dxa"/>
            <w:vAlign w:val="bottom"/>
          </w:tcPr>
          <w:p>
            <w:pPr>
              <w:spacing w:after="0"/>
              <w:rPr>
                <w:sz w:val="20"/>
                <w:szCs w:val="20"/>
                <w:color w:val="auto"/>
              </w:rPr>
            </w:pPr>
            <w:r>
              <w:rPr>
                <w:rFonts w:ascii="Arial" w:cs="Arial" w:eastAsia="Arial" w:hAnsi="Arial"/>
                <w:sz w:val="15"/>
                <w:szCs w:val="15"/>
                <w:b w:val="1"/>
                <w:bCs w:val="1"/>
                <w:color w:val="auto"/>
              </w:rPr>
              <w:t>Assets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8"/>
        </w:trPr>
        <w:tc>
          <w:tcPr>
            <w:tcW w:w="7120" w:type="dxa"/>
            <w:vAlign w:val="bottom"/>
          </w:tcPr>
          <w:p>
            <w:pPr>
              <w:ind w:left="240"/>
              <w:spacing w:after="0" w:line="258" w:lineRule="exact"/>
              <w:rPr>
                <w:sz w:val="20"/>
                <w:szCs w:val="20"/>
                <w:color w:val="auto"/>
              </w:rPr>
            </w:pPr>
            <w:r>
              <w:rPr>
                <w:rFonts w:ascii="Arial" w:cs="Arial" w:eastAsia="Arial" w:hAnsi="Arial"/>
                <w:sz w:val="15"/>
                <w:szCs w:val="15"/>
                <w:color w:val="auto"/>
              </w:rPr>
              <w:t>Money market investments</w:t>
            </w:r>
            <w:r>
              <w:rPr>
                <w:rFonts w:ascii="Arial" w:cs="Arial" w:eastAsia="Arial" w:hAnsi="Arial"/>
                <w:sz w:val="26"/>
                <w:szCs w:val="26"/>
                <w:color w:val="auto"/>
                <w:vertAlign w:val="superscript"/>
              </w:rPr>
              <w:t>(2)</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180,136</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180,136</w:t>
            </w:r>
          </w:p>
        </w:tc>
        <w:tc>
          <w:tcPr>
            <w:tcW w:w="0" w:type="dxa"/>
            <w:vAlign w:val="bottom"/>
          </w:tcPr>
          <w:p>
            <w:pPr>
              <w:spacing w:after="0"/>
              <w:rPr>
                <w:sz w:val="1"/>
                <w:szCs w:val="1"/>
                <w:color w:val="auto"/>
              </w:rPr>
            </w:pPr>
          </w:p>
        </w:tc>
      </w:tr>
      <w:tr>
        <w:trPr>
          <w:trHeight w:val="236"/>
        </w:trPr>
        <w:tc>
          <w:tcPr>
            <w:tcW w:w="7120" w:type="dxa"/>
            <w:vAlign w:val="bottom"/>
          </w:tcPr>
          <w:p>
            <w:pPr>
              <w:ind w:left="240"/>
              <w:spacing w:after="0" w:line="236" w:lineRule="exact"/>
              <w:rPr>
                <w:sz w:val="20"/>
                <w:szCs w:val="20"/>
                <w:color w:val="auto"/>
              </w:rPr>
            </w:pPr>
            <w:r>
              <w:rPr>
                <w:rFonts w:ascii="Arial" w:cs="Arial" w:eastAsia="Arial" w:hAnsi="Arial"/>
                <w:sz w:val="15"/>
                <w:szCs w:val="15"/>
                <w:color w:val="auto"/>
              </w:rPr>
              <w:t>Marketable equity securities</w:t>
            </w:r>
            <w:r>
              <w:rPr>
                <w:rFonts w:ascii="Arial" w:cs="Arial" w:eastAsia="Arial" w:hAnsi="Arial"/>
                <w:sz w:val="26"/>
                <w:szCs w:val="26"/>
                <w:color w:val="auto"/>
                <w:vertAlign w:val="superscript"/>
              </w:rPr>
              <w:t>(3)</w:t>
            </w:r>
          </w:p>
        </w:tc>
        <w:tc>
          <w:tcPr>
            <w:tcW w:w="34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303,201</w:t>
            </w:r>
          </w:p>
        </w:tc>
        <w:tc>
          <w:tcPr>
            <w:tcW w:w="3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303,201</w:t>
            </w:r>
          </w:p>
        </w:tc>
        <w:tc>
          <w:tcPr>
            <w:tcW w:w="0" w:type="dxa"/>
            <w:vAlign w:val="bottom"/>
          </w:tcPr>
          <w:p>
            <w:pPr>
              <w:spacing w:after="0"/>
              <w:rPr>
                <w:sz w:val="1"/>
                <w:szCs w:val="1"/>
                <w:color w:val="auto"/>
              </w:rPr>
            </w:pPr>
          </w:p>
        </w:tc>
      </w:tr>
      <w:tr>
        <w:trPr>
          <w:trHeight w:val="236"/>
        </w:trPr>
        <w:tc>
          <w:tcPr>
            <w:tcW w:w="7120" w:type="dxa"/>
            <w:vAlign w:val="bottom"/>
          </w:tcPr>
          <w:p>
            <w:pPr>
              <w:ind w:left="240"/>
              <w:spacing w:after="0" w:line="236" w:lineRule="exact"/>
              <w:rPr>
                <w:sz w:val="20"/>
                <w:szCs w:val="20"/>
                <w:color w:val="auto"/>
              </w:rPr>
            </w:pPr>
            <w:r>
              <w:rPr>
                <w:rFonts w:ascii="Arial" w:cs="Arial" w:eastAsia="Arial" w:hAnsi="Arial"/>
                <w:sz w:val="15"/>
                <w:szCs w:val="15"/>
                <w:color w:val="auto"/>
              </w:rPr>
              <w:t>Other current investments</w:t>
            </w:r>
            <w:r>
              <w:rPr>
                <w:rFonts w:ascii="Arial" w:cs="Arial" w:eastAsia="Arial" w:hAnsi="Arial"/>
                <w:sz w:val="26"/>
                <w:szCs w:val="26"/>
                <w:color w:val="auto"/>
                <w:vertAlign w:val="superscript"/>
              </w:rPr>
              <w:t>(4)</w:t>
            </w:r>
          </w:p>
        </w:tc>
        <w:tc>
          <w:tcPr>
            <w:tcW w:w="34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15,223</w:t>
            </w:r>
          </w:p>
        </w:tc>
        <w:tc>
          <w:tcPr>
            <w:tcW w:w="3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20,250</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35,473</w:t>
            </w:r>
          </w:p>
        </w:tc>
        <w:tc>
          <w:tcPr>
            <w:tcW w:w="0" w:type="dxa"/>
            <w:vAlign w:val="bottom"/>
          </w:tcPr>
          <w:p>
            <w:pPr>
              <w:spacing w:after="0"/>
              <w:rPr>
                <w:sz w:val="1"/>
                <w:szCs w:val="1"/>
                <w:color w:val="auto"/>
              </w:rPr>
            </w:pPr>
          </w:p>
        </w:tc>
      </w:tr>
      <w:tr>
        <w:trPr>
          <w:trHeight w:val="231"/>
        </w:trPr>
        <w:tc>
          <w:tcPr>
            <w:tcW w:w="7120" w:type="dxa"/>
            <w:vAlign w:val="bottom"/>
          </w:tcPr>
          <w:p>
            <w:pPr>
              <w:ind w:left="240"/>
              <w:spacing w:after="0" w:line="231" w:lineRule="exact"/>
              <w:rPr>
                <w:sz w:val="20"/>
                <w:szCs w:val="20"/>
                <w:color w:val="auto"/>
              </w:rPr>
            </w:pPr>
            <w:r>
              <w:rPr>
                <w:rFonts w:ascii="Arial" w:cs="Arial" w:eastAsia="Arial" w:hAnsi="Arial"/>
                <w:sz w:val="15"/>
                <w:szCs w:val="15"/>
                <w:color w:val="auto"/>
              </w:rPr>
              <w:t>Interest rate swap</w:t>
            </w:r>
            <w:r>
              <w:rPr>
                <w:rFonts w:ascii="Arial" w:cs="Arial" w:eastAsia="Arial" w:hAnsi="Arial"/>
                <w:sz w:val="26"/>
                <w:szCs w:val="26"/>
                <w:color w:val="auto"/>
                <w:vertAlign w:val="superscript"/>
              </w:rPr>
              <w:t>(5)</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14</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77"/>
        </w:trPr>
        <w:tc>
          <w:tcPr>
            <w:tcW w:w="7120" w:type="dxa"/>
            <w:vAlign w:val="bottom"/>
          </w:tcPr>
          <w:p>
            <w:pPr>
              <w:ind w:left="480"/>
              <w:spacing w:after="0"/>
              <w:rPr>
                <w:sz w:val="20"/>
                <w:szCs w:val="20"/>
                <w:color w:val="auto"/>
              </w:rPr>
            </w:pPr>
            <w:r>
              <w:rPr>
                <w:rFonts w:ascii="Arial" w:cs="Arial" w:eastAsia="Arial" w:hAnsi="Arial"/>
                <w:sz w:val="15"/>
                <w:szCs w:val="15"/>
                <w:b w:val="1"/>
                <w:bCs w:val="1"/>
                <w:color w:val="auto"/>
              </w:rPr>
              <w:t>Total Financial Assets</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318,424</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200,400</w:t>
            </w:r>
          </w:p>
        </w:tc>
        <w:tc>
          <w:tcPr>
            <w:tcW w:w="3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518,824</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5"/>
                <w:szCs w:val="15"/>
                <w:b w:val="1"/>
                <w:bCs w:val="1"/>
                <w:color w:val="auto"/>
              </w:rPr>
              <w:t>Liabilities</w:t>
            </w: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71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7120" w:type="dxa"/>
            <w:vAlign w:val="bottom"/>
          </w:tcPr>
          <w:p>
            <w:pPr>
              <w:ind w:left="240"/>
              <w:spacing w:after="0" w:line="258" w:lineRule="exact"/>
              <w:rPr>
                <w:sz w:val="20"/>
                <w:szCs w:val="20"/>
                <w:color w:val="auto"/>
              </w:rPr>
            </w:pPr>
            <w:r>
              <w:rPr>
                <w:rFonts w:ascii="Arial" w:cs="Arial" w:eastAsia="Arial" w:hAnsi="Arial"/>
                <w:sz w:val="15"/>
                <w:szCs w:val="15"/>
                <w:color w:val="auto"/>
              </w:rPr>
              <w:t>Deferred compensation plan liabilities</w:t>
            </w:r>
            <w:r>
              <w:rPr>
                <w:rFonts w:ascii="Arial" w:cs="Arial" w:eastAsia="Arial" w:hAnsi="Arial"/>
                <w:sz w:val="26"/>
                <w:szCs w:val="26"/>
                <w:color w:val="auto"/>
                <w:vertAlign w:val="superscript"/>
              </w:rPr>
              <w:t>(6)</w:t>
            </w:r>
          </w:p>
        </w:tc>
        <w:tc>
          <w:tcPr>
            <w:tcW w:w="34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63,403</w:t>
            </w:r>
          </w:p>
        </w:tc>
        <w:tc>
          <w:tcPr>
            <w:tcW w:w="38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63,403</w:t>
            </w:r>
          </w:p>
        </w:tc>
        <w:tc>
          <w:tcPr>
            <w:tcW w:w="0" w:type="dxa"/>
            <w:vAlign w:val="bottom"/>
          </w:tcPr>
          <w:p>
            <w:pPr>
              <w:spacing w:after="0"/>
              <w:rPr>
                <w:sz w:val="1"/>
                <w:szCs w:val="1"/>
                <w:color w:val="auto"/>
              </w:rPr>
            </w:pPr>
          </w:p>
        </w:tc>
      </w:tr>
      <w:tr>
        <w:trPr>
          <w:trHeight w:val="236"/>
        </w:trPr>
        <w:tc>
          <w:tcPr>
            <w:tcW w:w="7120" w:type="dxa"/>
            <w:vAlign w:val="bottom"/>
          </w:tcPr>
          <w:p>
            <w:pPr>
              <w:ind w:left="240"/>
              <w:spacing w:after="0" w:line="236" w:lineRule="exact"/>
              <w:rPr>
                <w:sz w:val="20"/>
                <w:szCs w:val="20"/>
                <w:color w:val="auto"/>
              </w:rPr>
            </w:pPr>
            <w:r>
              <w:rPr>
                <w:rFonts w:ascii="Arial" w:cs="Arial" w:eastAsia="Arial" w:hAnsi="Arial"/>
                <w:sz w:val="15"/>
                <w:szCs w:val="15"/>
                <w:color w:val="auto"/>
              </w:rPr>
              <w:t>7.25% unsecured notes</w:t>
            </w:r>
            <w:r>
              <w:rPr>
                <w:rFonts w:ascii="Arial" w:cs="Arial" w:eastAsia="Arial" w:hAnsi="Arial"/>
                <w:sz w:val="26"/>
                <w:szCs w:val="26"/>
                <w:color w:val="auto"/>
                <w:vertAlign w:val="superscript"/>
              </w:rPr>
              <w:t>(7)</w:t>
            </w:r>
          </w:p>
        </w:tc>
        <w:tc>
          <w:tcPr>
            <w:tcW w:w="34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20"/>
                <w:szCs w:val="20"/>
                <w:color w:val="auto"/>
              </w:rPr>
            </w:pPr>
          </w:p>
        </w:tc>
        <w:tc>
          <w:tcPr>
            <w:tcW w:w="1120" w:type="dxa"/>
            <w:vAlign w:val="bottom"/>
          </w:tcPr>
          <w:p>
            <w:pPr>
              <w:jc w:val="right"/>
              <w:ind w:right="66"/>
              <w:spacing w:after="0"/>
              <w:rPr>
                <w:sz w:val="20"/>
                <w:szCs w:val="20"/>
                <w:color w:val="auto"/>
              </w:rPr>
            </w:pPr>
            <w:r>
              <w:rPr>
                <w:rFonts w:ascii="Arial" w:cs="Arial" w:eastAsia="Arial" w:hAnsi="Arial"/>
                <w:sz w:val="15"/>
                <w:szCs w:val="15"/>
                <w:color w:val="auto"/>
              </w:rPr>
              <w:t>460,500</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460,500</w:t>
            </w:r>
          </w:p>
        </w:tc>
        <w:tc>
          <w:tcPr>
            <w:tcW w:w="0" w:type="dxa"/>
            <w:vAlign w:val="bottom"/>
          </w:tcPr>
          <w:p>
            <w:pPr>
              <w:spacing w:after="0"/>
              <w:rPr>
                <w:sz w:val="1"/>
                <w:szCs w:val="1"/>
                <w:color w:val="auto"/>
              </w:rPr>
            </w:pPr>
          </w:p>
        </w:tc>
      </w:tr>
      <w:tr>
        <w:trPr>
          <w:trHeight w:val="231"/>
        </w:trPr>
        <w:tc>
          <w:tcPr>
            <w:tcW w:w="7120" w:type="dxa"/>
            <w:vAlign w:val="bottom"/>
          </w:tcPr>
          <w:p>
            <w:pPr>
              <w:ind w:left="240"/>
              <w:spacing w:after="0" w:line="231" w:lineRule="exact"/>
              <w:rPr>
                <w:sz w:val="20"/>
                <w:szCs w:val="20"/>
                <w:color w:val="auto"/>
              </w:rPr>
            </w:pPr>
            <w:r>
              <w:rPr>
                <w:rFonts w:ascii="Arial" w:cs="Arial" w:eastAsia="Arial" w:hAnsi="Arial"/>
                <w:sz w:val="15"/>
                <w:szCs w:val="15"/>
                <w:color w:val="auto"/>
              </w:rPr>
              <w:t>AUD 50M borrowing</w:t>
            </w:r>
            <w:r>
              <w:rPr>
                <w:rFonts w:ascii="Arial" w:cs="Arial" w:eastAsia="Arial" w:hAnsi="Arial"/>
                <w:sz w:val="26"/>
                <w:szCs w:val="26"/>
                <w:color w:val="auto"/>
                <w:vertAlign w:val="superscript"/>
              </w:rPr>
              <w:t>(7)</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51,012</w:t>
            </w: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51,012</w:t>
            </w:r>
          </w:p>
        </w:tc>
        <w:tc>
          <w:tcPr>
            <w:tcW w:w="0" w:type="dxa"/>
            <w:vAlign w:val="bottom"/>
          </w:tcPr>
          <w:p>
            <w:pPr>
              <w:spacing w:after="0"/>
              <w:rPr>
                <w:sz w:val="1"/>
                <w:szCs w:val="1"/>
                <w:color w:val="auto"/>
              </w:rPr>
            </w:pPr>
          </w:p>
        </w:tc>
      </w:tr>
      <w:tr>
        <w:trPr>
          <w:trHeight w:val="178"/>
        </w:trPr>
        <w:tc>
          <w:tcPr>
            <w:tcW w:w="7120" w:type="dxa"/>
            <w:vAlign w:val="bottom"/>
          </w:tcPr>
          <w:p>
            <w:pPr>
              <w:ind w:left="480"/>
              <w:spacing w:after="0"/>
              <w:rPr>
                <w:sz w:val="20"/>
                <w:szCs w:val="20"/>
                <w:color w:val="auto"/>
              </w:rPr>
            </w:pPr>
            <w:r>
              <w:rPr>
                <w:rFonts w:ascii="Arial" w:cs="Arial" w:eastAsia="Arial" w:hAnsi="Arial"/>
                <w:sz w:val="15"/>
                <w:szCs w:val="15"/>
                <w:b w:val="1"/>
                <w:bCs w:val="1"/>
                <w:color w:val="auto"/>
              </w:rPr>
              <w:t>Total Financial Liabilities</w:t>
            </w:r>
          </w:p>
        </w:tc>
        <w:tc>
          <w:tcPr>
            <w:tcW w:w="34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574,915</w:t>
            </w:r>
          </w:p>
        </w:tc>
        <w:tc>
          <w:tcPr>
            <w:tcW w:w="38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574,915</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1"/>
        <w:spacing w:after="0"/>
        <w:rPr>
          <w:sz w:val="20"/>
          <w:szCs w:val="20"/>
          <w:color w:val="auto"/>
        </w:rPr>
      </w:pPr>
      <w:r>
        <w:rPr>
          <w:rFonts w:ascii="Arial" w:cs="Arial" w:eastAsia="Arial" w:hAnsi="Arial"/>
          <w:sz w:val="12"/>
          <w:szCs w:val="12"/>
          <w:color w:val="auto"/>
        </w:rPr>
        <w:t>____________</w:t>
      </w:r>
    </w:p>
    <w:p>
      <w:pPr>
        <w:spacing w:after="0" w:line="11" w:lineRule="exact"/>
        <w:rPr>
          <w:sz w:val="20"/>
          <w:szCs w:val="20"/>
          <w:color w:val="auto"/>
        </w:rPr>
      </w:pPr>
    </w:p>
    <w:p>
      <w:pPr>
        <w:ind w:left="401" w:hanging="401"/>
        <w:spacing w:after="0"/>
        <w:tabs>
          <w:tab w:leader="none" w:pos="401"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money market investments at September 30, 2012 are included in cash and cash equivalents.</w:t>
      </w:r>
    </w:p>
    <w:p>
      <w:pPr>
        <w:spacing w:after="0" w:line="23" w:lineRule="exact"/>
        <w:rPr>
          <w:rFonts w:ascii="Arial" w:cs="Arial" w:eastAsia="Arial" w:hAnsi="Arial"/>
          <w:sz w:val="12"/>
          <w:szCs w:val="12"/>
          <w:color w:val="auto"/>
        </w:rPr>
      </w:pPr>
    </w:p>
    <w:p>
      <w:pPr>
        <w:ind w:left="401" w:hanging="401"/>
        <w:spacing w:after="0"/>
        <w:tabs>
          <w:tab w:leader="none" w:pos="401"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money market investments at December 31, 2011 are included in cash, cash equivalents and restricted cash.</w:t>
      </w:r>
    </w:p>
    <w:p>
      <w:pPr>
        <w:spacing w:after="0" w:line="10" w:lineRule="exact"/>
        <w:rPr>
          <w:rFonts w:ascii="Arial" w:cs="Arial" w:eastAsia="Arial" w:hAnsi="Arial"/>
          <w:sz w:val="12"/>
          <w:szCs w:val="12"/>
          <w:color w:val="auto"/>
        </w:rPr>
      </w:pPr>
    </w:p>
    <w:p>
      <w:pPr>
        <w:ind w:left="401" w:hanging="401"/>
        <w:spacing w:after="0"/>
        <w:tabs>
          <w:tab w:leader="none" w:pos="401" w:val="left"/>
        </w:tabs>
        <w:numPr>
          <w:ilvl w:val="0"/>
          <w:numId w:val="6"/>
        </w:numPr>
        <w:rPr>
          <w:rFonts w:ascii="Arial" w:cs="Arial" w:eastAsia="Arial" w:hAnsi="Arial"/>
          <w:sz w:val="12"/>
          <w:szCs w:val="12"/>
          <w:color w:val="auto"/>
        </w:rPr>
      </w:pPr>
      <w:r>
        <w:rPr>
          <w:rFonts w:ascii="Arial" w:cs="Arial" w:eastAsia="Arial" w:hAnsi="Arial"/>
          <w:sz w:val="12"/>
          <w:szCs w:val="12"/>
          <w:color w:val="auto"/>
        </w:rPr>
        <w:t>The Company’s investments in marketable equity securities are classified as available-for-sale.</w:t>
      </w:r>
    </w:p>
    <w:p>
      <w:pPr>
        <w:spacing w:after="0" w:line="10" w:lineRule="exact"/>
        <w:rPr>
          <w:rFonts w:ascii="Arial" w:cs="Arial" w:eastAsia="Arial" w:hAnsi="Arial"/>
          <w:sz w:val="12"/>
          <w:szCs w:val="12"/>
          <w:color w:val="auto"/>
        </w:rPr>
      </w:pPr>
    </w:p>
    <w:p>
      <w:pPr>
        <w:ind w:left="401" w:hanging="401"/>
        <w:spacing w:after="0"/>
        <w:tabs>
          <w:tab w:leader="none" w:pos="401"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U.S. Government Securities, corporate bonds, mutual funds and time deposits (with original maturities greater than 90 days, but less than one year).</w:t>
      </w:r>
    </w:p>
    <w:p>
      <w:pPr>
        <w:spacing w:after="0" w:line="23" w:lineRule="exact"/>
        <w:rPr>
          <w:rFonts w:ascii="Arial" w:cs="Arial" w:eastAsia="Arial" w:hAnsi="Arial"/>
          <w:sz w:val="12"/>
          <w:szCs w:val="12"/>
          <w:color w:val="auto"/>
        </w:rPr>
      </w:pPr>
    </w:p>
    <w:p>
      <w:pPr>
        <w:ind w:left="401" w:right="20" w:hanging="401"/>
        <w:spacing w:after="0" w:line="248" w:lineRule="auto"/>
        <w:tabs>
          <w:tab w:leader="none" w:pos="389"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Included in Deferred charges and other assets. The fair value utilized a market approach model using the notional amount of the interest rate swap multiplied by the observable inputs of time to maturity and market interest rates.</w:t>
      </w:r>
    </w:p>
    <w:p>
      <w:pPr>
        <w:ind w:left="401" w:right="140" w:hanging="401"/>
        <w:spacing w:after="0" w:line="248" w:lineRule="auto"/>
        <w:tabs>
          <w:tab w:leader="none" w:pos="389"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Includes The Washington Post Company Deferred Compensation Plan and supplemental savings plan benefits under The Washington Post Company Supplemental Executive Retirement Plan, which are included in accrued compensation and related benefits.</w:t>
      </w:r>
    </w:p>
    <w:p>
      <w:pPr>
        <w:ind w:left="401" w:hanging="401"/>
        <w:spacing w:after="0"/>
        <w:tabs>
          <w:tab w:leader="none" w:pos="401" w:val="left"/>
        </w:tabs>
        <w:numPr>
          <w:ilvl w:val="0"/>
          <w:numId w:val="6"/>
        </w:numPr>
        <w:rPr>
          <w:rFonts w:ascii="Arial" w:cs="Arial" w:eastAsia="Arial" w:hAnsi="Arial"/>
          <w:sz w:val="12"/>
          <w:szCs w:val="12"/>
          <w:color w:val="auto"/>
        </w:rPr>
      </w:pPr>
      <w:r>
        <w:rPr>
          <w:rFonts w:ascii="Arial" w:cs="Arial" w:eastAsia="Arial" w:hAnsi="Arial"/>
          <w:sz w:val="12"/>
          <w:szCs w:val="12"/>
          <w:color w:val="auto"/>
        </w:rPr>
        <w:t>See Note 6 for carrying amount of these notes and borrowing.</w:t>
      </w:r>
    </w:p>
    <w:p>
      <w:pPr>
        <w:spacing w:after="0" w:line="23" w:lineRule="exact"/>
        <w:rPr>
          <w:rFonts w:ascii="Arial" w:cs="Arial" w:eastAsia="Arial" w:hAnsi="Arial"/>
          <w:sz w:val="12"/>
          <w:szCs w:val="12"/>
          <w:color w:val="auto"/>
        </w:rPr>
      </w:pPr>
    </w:p>
    <w:p>
      <w:pPr>
        <w:ind w:left="401" w:right="20" w:hanging="401"/>
        <w:spacing w:after="0" w:line="247" w:lineRule="auto"/>
        <w:tabs>
          <w:tab w:leader="none" w:pos="389" w:val="left"/>
        </w:tabs>
        <w:numPr>
          <w:ilvl w:val="0"/>
          <w:numId w:val="6"/>
        </w:numPr>
        <w:rPr>
          <w:rFonts w:ascii="Arial" w:cs="Arial" w:eastAsia="Arial" w:hAnsi="Arial"/>
          <w:sz w:val="12"/>
          <w:szCs w:val="12"/>
          <w:color w:val="auto"/>
        </w:rPr>
      </w:pPr>
      <w:r>
        <w:rPr>
          <w:rFonts w:ascii="Arial" w:cs="Arial" w:eastAsia="Arial" w:hAnsi="Arial"/>
          <w:sz w:val="12"/>
          <w:szCs w:val="12"/>
          <w:color w:val="auto"/>
        </w:rPr>
        <w:t>Included in Other liabilities. The fair value utilized a market approach model using the notional amount of the interest rate swap multiplied by the observable inputs of time to maturity and market interest rates.</w:t>
      </w:r>
    </w:p>
    <w:p>
      <w:pPr>
        <w:spacing w:after="0" w:line="317" w:lineRule="exact"/>
        <w:rPr>
          <w:sz w:val="20"/>
          <w:szCs w:val="20"/>
          <w:color w:val="auto"/>
        </w:rPr>
      </w:pPr>
    </w:p>
    <w:p>
      <w:pPr>
        <w:ind w:left="1" w:right="200"/>
        <w:spacing w:after="0" w:line="233" w:lineRule="auto"/>
        <w:rPr>
          <w:sz w:val="20"/>
          <w:szCs w:val="20"/>
          <w:color w:val="auto"/>
        </w:rPr>
      </w:pPr>
      <w:r>
        <w:rPr>
          <w:rFonts w:ascii="Arial" w:cs="Arial" w:eastAsia="Arial" w:hAnsi="Arial"/>
          <w:sz w:val="17"/>
          <w:szCs w:val="17"/>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significant other observable inputs are primarily valued by reference to quoted prices of similar assets or liabilities in active markets, adjusted for any terms specific to that asset or liability.</w:t>
      </w:r>
    </w:p>
    <w:p>
      <w:pPr>
        <w:spacing w:after="0" w:line="155"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12. BUSINESS SEGMENTS</w:t>
      </w:r>
    </w:p>
    <w:p>
      <w:pPr>
        <w:spacing w:after="0" w:line="197" w:lineRule="exact"/>
        <w:rPr>
          <w:sz w:val="20"/>
          <w:szCs w:val="20"/>
          <w:color w:val="auto"/>
        </w:rPr>
      </w:pPr>
    </w:p>
    <w:p>
      <w:pPr>
        <w:ind w:left="1" w:right="800"/>
        <w:spacing w:after="0" w:line="235" w:lineRule="auto"/>
        <w:rPr>
          <w:sz w:val="20"/>
          <w:szCs w:val="20"/>
          <w:color w:val="auto"/>
        </w:rPr>
      </w:pPr>
      <w:r>
        <w:rPr>
          <w:rFonts w:ascii="Arial" w:cs="Arial" w:eastAsia="Arial" w:hAnsi="Arial"/>
          <w:sz w:val="17"/>
          <w:szCs w:val="17"/>
          <w:color w:val="auto"/>
        </w:rPr>
        <w:t>The Company has six reportable segments: Kaplan Higher Education, Kaplan Test Preparation, Kaplan International, cable television, newspaper publishing, and television broadcasting.</w:t>
      </w:r>
    </w:p>
    <w:p>
      <w:pPr>
        <w:spacing w:after="0" w:line="156" w:lineRule="exact"/>
        <w:rPr>
          <w:sz w:val="20"/>
          <w:szCs w:val="20"/>
          <w:color w:val="auto"/>
        </w:rPr>
      </w:pPr>
    </w:p>
    <w:p>
      <w:pPr>
        <w:ind w:left="1" w:right="260"/>
        <w:spacing w:after="0" w:line="257" w:lineRule="auto"/>
        <w:rPr>
          <w:sz w:val="20"/>
          <w:szCs w:val="20"/>
          <w:color w:val="auto"/>
        </w:rPr>
      </w:pPr>
      <w:r>
        <w:rPr>
          <w:rFonts w:ascii="Arial" w:cs="Arial" w:eastAsia="Arial" w:hAnsi="Arial"/>
          <w:sz w:val="16"/>
          <w:szCs w:val="16"/>
          <w:b w:val="1"/>
          <w:bCs w:val="1"/>
          <w:color w:val="auto"/>
        </w:rPr>
        <w:t xml:space="preserve">Education. </w:t>
      </w:r>
      <w:r>
        <w:rPr>
          <w:rFonts w:ascii="Arial" w:cs="Arial" w:eastAsia="Arial" w:hAnsi="Arial"/>
          <w:sz w:val="16"/>
          <w:szCs w:val="16"/>
          <w:color w:val="auto"/>
        </w:rPr>
        <w:t>Kaplan sold Kidum in August 2012, EduNeering in April 2012, KLT in February 2012, KCS in October 2011 and KVE in July 2011; 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the education division’s operating results exclude these businesses. Due to the sale of Kidum, the Kaplan Ventures segment is no longer included as a separate segment as its results have been reclassified to discontinued operations. Also, Kaplan’s Colloquy and U.S. Pathways businesses moved from Kaplan Ventures to Kaplan International. Segment operating results of the education division have been restated to reflect these changes.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78740</wp:posOffset>
            </wp:positionV>
            <wp:extent cx="727837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871" w:right="239" w:bottom="1440" w:gutter="0" w:footer="0" w:header="0"/>
        </w:sectPr>
      </w:pPr>
    </w:p>
    <w:bookmarkStart w:id="19" w:name="page20"/>
    <w:bookmarkEnd w:id="19"/>
    <w:p>
      <w:pPr>
        <w:ind w:right="60"/>
        <w:spacing w:after="0" w:line="232" w:lineRule="auto"/>
        <w:rPr>
          <w:sz w:val="20"/>
          <w:szCs w:val="20"/>
          <w:color w:val="auto"/>
        </w:rPr>
      </w:pPr>
      <w:r>
        <w:rPr>
          <w:rFonts w:ascii="Arial" w:cs="Arial" w:eastAsia="Arial" w:hAnsi="Arial"/>
          <w:sz w:val="17"/>
          <w:szCs w:val="17"/>
          <w:color w:val="auto"/>
        </w:rPr>
        <w:t>For the first nine months of 2012, Kaplan International results benefited from a favorable $3.9 million out of period expense adjustment related to certain items recorded in 2011 and 2010. With respect to this out of period expense adjustment, the Company has concluded that it was not material to the Company’s financial position or results of operations for 2012, 2011 and 2010 and the related interim periods, based on its consideration of quantitative and qualitative factors.</w:t>
      </w:r>
    </w:p>
    <w:p>
      <w:pPr>
        <w:spacing w:after="0" w:line="155" w:lineRule="exact"/>
        <w:rPr>
          <w:sz w:val="20"/>
          <w:szCs w:val="20"/>
          <w:color w:val="auto"/>
        </w:rPr>
      </w:pPr>
    </w:p>
    <w:p>
      <w:pPr>
        <w:ind w:right="360"/>
        <w:spacing w:after="0" w:line="242" w:lineRule="auto"/>
        <w:rPr>
          <w:sz w:val="20"/>
          <w:szCs w:val="20"/>
          <w:color w:val="auto"/>
        </w:rPr>
      </w:pPr>
      <w:r>
        <w:rPr>
          <w:rFonts w:ascii="Arial" w:cs="Arial" w:eastAsia="Arial" w:hAnsi="Arial"/>
          <w:sz w:val="17"/>
          <w:szCs w:val="17"/>
          <w:b w:val="1"/>
          <w:bCs w:val="1"/>
          <w:color w:val="auto"/>
        </w:rPr>
        <w:t xml:space="preserve">Other Businesses. </w:t>
      </w:r>
      <w:r>
        <w:rPr>
          <w:rFonts w:ascii="Arial" w:cs="Arial" w:eastAsia="Arial" w:hAnsi="Arial"/>
          <w:sz w:val="17"/>
          <w:szCs w:val="17"/>
          <w:color w:val="auto"/>
        </w:rPr>
        <w:t>In the third quarter of 2012, Social Code has been moved from the newspaper publishing segment to other businesses. Due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disposal of Avenue100 Media Solutions, it is no longer included in the other businesses segment, as its results have been reclassified to discontinued operations. The other businesses operating results have been restated to reflect these changes.</w:t>
      </w:r>
    </w:p>
    <w:p>
      <w:pPr>
        <w:spacing w:after="0" w:line="15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b w:val="1"/>
          <w:bCs w:val="1"/>
          <w:color w:val="auto"/>
        </w:rPr>
        <w:t xml:space="preserve">Identifiable Assets. </w:t>
      </w:r>
      <w:r>
        <w:rPr>
          <w:rFonts w:ascii="Arial" w:cs="Arial" w:eastAsia="Arial" w:hAnsi="Arial"/>
          <w:sz w:val="17"/>
          <w:szCs w:val="17"/>
          <w:color w:val="auto"/>
        </w:rPr>
        <w:t>In the third quarter of 2012, the Company has excluded prepaid pension cost from identifiable assets by segment. The 2011 amounts</w:t>
      </w:r>
      <w:r>
        <w:rPr>
          <w:rFonts w:ascii="Arial" w:cs="Arial" w:eastAsia="Arial" w:hAnsi="Arial"/>
          <w:sz w:val="17"/>
          <w:szCs w:val="17"/>
          <w:b w:val="1"/>
          <w:bCs w:val="1"/>
          <w:color w:val="auto"/>
        </w:rPr>
        <w:t xml:space="preserve"> </w:t>
      </w:r>
      <w:r>
        <w:rPr>
          <w:rFonts w:ascii="Arial" w:cs="Arial" w:eastAsia="Arial" w:hAnsi="Arial"/>
          <w:sz w:val="17"/>
          <w:szCs w:val="17"/>
          <w:color w:val="auto"/>
        </w:rPr>
        <w:t>have been revised to reflect this change; the 2010 revised amounts are not included.</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2012 quarterly financial information related to each of the Company’s business segments: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80" w:type="dxa"/>
            <w:vAlign w:val="bottom"/>
          </w:tcPr>
          <w:p>
            <w:pPr>
              <w:jc w:val="right"/>
              <w:ind w:right="606"/>
              <w:spacing w:after="0"/>
              <w:rPr>
                <w:sz w:val="20"/>
                <w:szCs w:val="20"/>
                <w:color w:val="auto"/>
              </w:rPr>
            </w:pPr>
            <w:r>
              <w:rPr>
                <w:rFonts w:ascii="Arial" w:cs="Arial" w:eastAsia="Arial" w:hAnsi="Arial"/>
                <w:sz w:val="12"/>
                <w:szCs w:val="12"/>
                <w:color w:val="auto"/>
              </w:rPr>
              <w:t>March 31,</w:t>
            </w:r>
          </w:p>
        </w:tc>
        <w:tc>
          <w:tcPr>
            <w:tcW w:w="440" w:type="dxa"/>
            <w:vAlign w:val="bottom"/>
          </w:tcPr>
          <w:p>
            <w:pPr>
              <w:spacing w:after="0"/>
              <w:rPr>
                <w:sz w:val="12"/>
                <w:szCs w:val="12"/>
                <w:color w:val="auto"/>
              </w:rPr>
            </w:pPr>
          </w:p>
        </w:tc>
        <w:tc>
          <w:tcPr>
            <w:tcW w:w="1280" w:type="dxa"/>
            <w:vAlign w:val="bottom"/>
          </w:tcPr>
          <w:p>
            <w:pPr>
              <w:jc w:val="right"/>
              <w:ind w:right="606"/>
              <w:spacing w:after="0"/>
              <w:rPr>
                <w:sz w:val="20"/>
                <w:szCs w:val="20"/>
                <w:color w:val="auto"/>
              </w:rPr>
            </w:pPr>
            <w:r>
              <w:rPr>
                <w:rFonts w:ascii="Arial" w:cs="Arial" w:eastAsia="Arial" w:hAnsi="Arial"/>
                <w:sz w:val="12"/>
                <w:szCs w:val="12"/>
                <w:color w:val="auto"/>
              </w:rPr>
              <w:t>June 30,</w:t>
            </w:r>
          </w:p>
        </w:tc>
        <w:tc>
          <w:tcPr>
            <w:tcW w:w="320" w:type="dxa"/>
            <w:vAlign w:val="bottom"/>
          </w:tcPr>
          <w:p>
            <w:pPr>
              <w:spacing w:after="0"/>
              <w:rPr>
                <w:sz w:val="12"/>
                <w:szCs w:val="12"/>
                <w:color w:val="auto"/>
              </w:rPr>
            </w:pPr>
          </w:p>
        </w:tc>
        <w:tc>
          <w:tcPr>
            <w:tcW w:w="1200" w:type="dxa"/>
            <w:vAlign w:val="bottom"/>
          </w:tcPr>
          <w:p>
            <w:pPr>
              <w:jc w:val="right"/>
              <w:ind w:right="226"/>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51"/>
        </w:trPr>
        <w:tc>
          <w:tcPr>
            <w:tcW w:w="6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66"/>
              <w:spacing w:after="0"/>
              <w:rPr>
                <w:sz w:val="20"/>
                <w:szCs w:val="20"/>
                <w:color w:val="auto"/>
              </w:rPr>
            </w:pPr>
            <w:r>
              <w:rPr>
                <w:rFonts w:ascii="Arial" w:cs="Arial" w:eastAsia="Arial" w:hAnsi="Arial"/>
                <w:sz w:val="12"/>
                <w:szCs w:val="12"/>
                <w:color w:val="auto"/>
              </w:rPr>
              <w:t>2012</w:t>
            </w: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706"/>
              <w:spacing w:after="0"/>
              <w:rPr>
                <w:sz w:val="20"/>
                <w:szCs w:val="20"/>
                <w:color w:val="auto"/>
              </w:rPr>
            </w:pPr>
            <w:r>
              <w:rPr>
                <w:rFonts w:ascii="Arial" w:cs="Arial" w:eastAsia="Arial" w:hAnsi="Arial"/>
                <w:sz w:val="12"/>
                <w:szCs w:val="12"/>
                <w:color w:val="auto"/>
              </w:rPr>
              <w:t>2012</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26"/>
              <w:spacing w:after="0"/>
              <w:rPr>
                <w:sz w:val="20"/>
                <w:szCs w:val="20"/>
                <w:color w:val="auto"/>
              </w:rPr>
            </w:pPr>
            <w:r>
              <w:rPr>
                <w:rFonts w:ascii="Arial" w:cs="Arial" w:eastAsia="Arial" w:hAnsi="Arial"/>
                <w:sz w:val="12"/>
                <w:szCs w:val="12"/>
                <w:b w:val="1"/>
                <w:bCs w:val="1"/>
                <w:color w:val="auto"/>
              </w:rPr>
              <w:t>2012</w:t>
            </w:r>
          </w:p>
        </w:tc>
        <w:tc>
          <w:tcPr>
            <w:tcW w:w="0" w:type="dxa"/>
            <w:vAlign w:val="bottom"/>
          </w:tcPr>
          <w:p>
            <w:pPr>
              <w:spacing w:after="0"/>
              <w:rPr>
                <w:sz w:val="1"/>
                <w:szCs w:val="1"/>
                <w:color w:val="auto"/>
              </w:rPr>
            </w:pPr>
          </w:p>
        </w:tc>
      </w:tr>
      <w:tr>
        <w:trPr>
          <w:trHeight w:val="168"/>
        </w:trPr>
        <w:tc>
          <w:tcPr>
            <w:tcW w:w="642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552,585</w:t>
            </w:r>
          </w:p>
        </w:tc>
        <w:tc>
          <w:tcPr>
            <w:tcW w:w="0" w:type="dxa"/>
            <w:vAlign w:val="bottom"/>
          </w:tcPr>
          <w:p>
            <w:pPr>
              <w:spacing w:after="0"/>
              <w:rPr>
                <w:sz w:val="1"/>
                <w:szCs w:val="1"/>
                <w:color w:val="auto"/>
              </w:rPr>
            </w:pPr>
          </w:p>
        </w:tc>
      </w:tr>
      <w:tr>
        <w:trPr>
          <w:trHeight w:val="156"/>
        </w:trPr>
        <w:tc>
          <w:tcPr>
            <w:tcW w:w="642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547,280</w:t>
            </w: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552,202</w:t>
            </w:r>
          </w:p>
        </w:tc>
        <w:tc>
          <w:tcPr>
            <w:tcW w:w="32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190,210</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195,579</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199,625</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137,553</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144,721</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137,276</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81,497</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95,591</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106,411</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4,768</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7,177</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15,834</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90"/>
        </w:trPr>
        <w:tc>
          <w:tcPr>
            <w:tcW w:w="642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(109)</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(246)</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(397)</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961,199</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995,024</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1,011,334</w:t>
            </w:r>
          </w:p>
        </w:tc>
        <w:tc>
          <w:tcPr>
            <w:tcW w:w="0" w:type="dxa"/>
            <w:vAlign w:val="bottom"/>
          </w:tcPr>
          <w:p>
            <w:pPr>
              <w:spacing w:after="0"/>
              <w:rPr>
                <w:sz w:val="1"/>
                <w:szCs w:val="1"/>
                <w:color w:val="auto"/>
              </w:rPr>
            </w:pPr>
          </w:p>
        </w:tc>
      </w:tr>
      <w:tr>
        <w:trPr>
          <w:trHeight w:val="354"/>
        </w:trPr>
        <w:tc>
          <w:tcPr>
            <w:tcW w:w="6420" w:type="dxa"/>
            <w:vAlign w:val="bottom"/>
          </w:tcPr>
          <w:p>
            <w:pPr>
              <w:spacing w:after="0"/>
              <w:rPr>
                <w:sz w:val="20"/>
                <w:szCs w:val="20"/>
                <w:color w:val="auto"/>
              </w:rPr>
            </w:pPr>
            <w:r>
              <w:rPr>
                <w:rFonts w:ascii="Arial" w:cs="Arial" w:eastAsia="Arial" w:hAnsi="Arial"/>
                <w:sz w:val="15"/>
                <w:szCs w:val="15"/>
                <w:b w:val="1"/>
                <w:bCs w:val="1"/>
                <w:color w:val="auto"/>
              </w:rPr>
              <w:t>Income (Loss) From Operations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14,693</w:t>
            </w:r>
          </w:p>
        </w:tc>
        <w:tc>
          <w:tcPr>
            <w:tcW w:w="0" w:type="dxa"/>
            <w:vAlign w:val="bottom"/>
          </w:tcPr>
          <w:p>
            <w:pPr>
              <w:spacing w:after="0"/>
              <w:rPr>
                <w:sz w:val="1"/>
                <w:szCs w:val="1"/>
                <w:color w:val="auto"/>
              </w:rPr>
            </w:pPr>
          </w:p>
        </w:tc>
      </w:tr>
      <w:tr>
        <w:trPr>
          <w:trHeight w:val="156"/>
        </w:trPr>
        <w:tc>
          <w:tcPr>
            <w:tcW w:w="642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(11,915)</w:t>
            </w: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3,728</w:t>
            </w:r>
          </w:p>
        </w:tc>
        <w:tc>
          <w:tcPr>
            <w:tcW w:w="32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32,777</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38,446</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39,913</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(21,431)</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(13,079)</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(21,825)</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30,999</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43,728</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54,082</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(4,643)</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(6,775)</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(5,248)</w:t>
            </w:r>
          </w:p>
        </w:tc>
        <w:tc>
          <w:tcPr>
            <w:tcW w:w="0" w:type="dxa"/>
            <w:vAlign w:val="bottom"/>
          </w:tcPr>
          <w:p>
            <w:pPr>
              <w:spacing w:after="0"/>
              <w:rPr>
                <w:sz w:val="1"/>
                <w:szCs w:val="1"/>
                <w:color w:val="auto"/>
              </w:rPr>
            </w:pPr>
          </w:p>
        </w:tc>
      </w:tr>
      <w:tr>
        <w:trPr>
          <w:trHeight w:val="190"/>
        </w:trPr>
        <w:tc>
          <w:tcPr>
            <w:tcW w:w="642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(5,308)</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(3,492)</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(5,694)</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20,479</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62,556</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75,921</w:t>
            </w:r>
          </w:p>
        </w:tc>
        <w:tc>
          <w:tcPr>
            <w:tcW w:w="0" w:type="dxa"/>
            <w:vAlign w:val="bottom"/>
          </w:tcPr>
          <w:p>
            <w:pPr>
              <w:spacing w:after="0"/>
              <w:rPr>
                <w:sz w:val="1"/>
                <w:szCs w:val="1"/>
                <w:color w:val="auto"/>
              </w:rPr>
            </w:pPr>
          </w:p>
        </w:tc>
      </w:tr>
      <w:tr>
        <w:trPr>
          <w:trHeight w:val="336"/>
        </w:trPr>
        <w:tc>
          <w:tcPr>
            <w:tcW w:w="6420" w:type="dxa"/>
            <w:vAlign w:val="bottom"/>
          </w:tcPr>
          <w:p>
            <w:pPr>
              <w:spacing w:after="0"/>
              <w:rPr>
                <w:sz w:val="20"/>
                <w:szCs w:val="20"/>
                <w:color w:val="auto"/>
              </w:rPr>
            </w:pPr>
            <w:r>
              <w:rPr>
                <w:rFonts w:ascii="Arial" w:cs="Arial" w:eastAsia="Arial" w:hAnsi="Arial"/>
                <w:sz w:val="15"/>
                <w:szCs w:val="15"/>
                <w:b w:val="1"/>
                <w:bCs w:val="1"/>
                <w:color w:val="auto"/>
              </w:rPr>
              <w:t>Equity in Earnings of Affiliates, Net</w:t>
            </w:r>
          </w:p>
        </w:tc>
        <w:tc>
          <w:tcPr>
            <w:tcW w:w="380" w:type="dxa"/>
            <w:vAlign w:val="bottom"/>
          </w:tcPr>
          <w:p>
            <w:pPr>
              <w:spacing w:after="0"/>
              <w:rPr>
                <w:sz w:val="24"/>
                <w:szCs w:val="24"/>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3,888</w:t>
            </w:r>
          </w:p>
        </w:tc>
        <w:tc>
          <w:tcPr>
            <w:tcW w:w="440" w:type="dxa"/>
            <w:vAlign w:val="bottom"/>
          </w:tcPr>
          <w:p>
            <w:pPr>
              <w:spacing w:after="0"/>
              <w:rPr>
                <w:sz w:val="24"/>
                <w:szCs w:val="24"/>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3,314</w:t>
            </w:r>
          </w:p>
        </w:tc>
        <w:tc>
          <w:tcPr>
            <w:tcW w:w="3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4,099</w:t>
            </w:r>
          </w:p>
        </w:tc>
        <w:tc>
          <w:tcPr>
            <w:tcW w:w="0" w:type="dxa"/>
            <w:vAlign w:val="bottom"/>
          </w:tcPr>
          <w:p>
            <w:pPr>
              <w:spacing w:after="0"/>
              <w:rPr>
                <w:sz w:val="1"/>
                <w:szCs w:val="1"/>
                <w:color w:val="auto"/>
              </w:rPr>
            </w:pPr>
          </w:p>
        </w:tc>
      </w:tr>
      <w:tr>
        <w:trPr>
          <w:trHeight w:val="174"/>
        </w:trPr>
        <w:tc>
          <w:tcPr>
            <w:tcW w:w="642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(8,094)</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(8,204)</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(8,090)</w:t>
            </w:r>
          </w:p>
        </w:tc>
        <w:tc>
          <w:tcPr>
            <w:tcW w:w="0" w:type="dxa"/>
            <w:vAlign w:val="bottom"/>
          </w:tcPr>
          <w:p>
            <w:pPr>
              <w:spacing w:after="0"/>
              <w:rPr>
                <w:sz w:val="1"/>
                <w:szCs w:val="1"/>
                <w:color w:val="auto"/>
              </w:rPr>
            </w:pPr>
          </w:p>
        </w:tc>
      </w:tr>
      <w:tr>
        <w:trPr>
          <w:trHeight w:val="190"/>
        </w:trPr>
        <w:tc>
          <w:tcPr>
            <w:tcW w:w="6420" w:type="dxa"/>
            <w:vAlign w:val="bottom"/>
          </w:tcPr>
          <w:p>
            <w:pPr>
              <w:spacing w:after="0"/>
              <w:rPr>
                <w:sz w:val="20"/>
                <w:szCs w:val="20"/>
                <w:color w:val="auto"/>
              </w:rPr>
            </w:pPr>
            <w:r>
              <w:rPr>
                <w:rFonts w:ascii="Arial" w:cs="Arial" w:eastAsia="Arial" w:hAnsi="Arial"/>
                <w:sz w:val="15"/>
                <w:szCs w:val="15"/>
                <w:b w:val="1"/>
                <w:bCs w:val="1"/>
                <w:color w:val="auto"/>
              </w:rPr>
              <w:t>Other Income (Expense), Net</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8,588</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(635)</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4,163</w:t>
            </w:r>
          </w:p>
        </w:tc>
        <w:tc>
          <w:tcPr>
            <w:tcW w:w="0" w:type="dxa"/>
            <w:vAlign w:val="bottom"/>
          </w:tcPr>
          <w:p>
            <w:pPr>
              <w:spacing w:after="0"/>
              <w:rPr>
                <w:sz w:val="1"/>
                <w:szCs w:val="1"/>
                <w:color w:val="auto"/>
              </w:rPr>
            </w:pPr>
          </w:p>
        </w:tc>
      </w:tr>
      <w:tr>
        <w:trPr>
          <w:trHeight w:val="166"/>
        </w:trPr>
        <w:tc>
          <w:tcPr>
            <w:tcW w:w="6420" w:type="dxa"/>
            <w:vAlign w:val="bottom"/>
          </w:tcPr>
          <w:p>
            <w:pPr>
              <w:spacing w:after="0" w:line="167" w:lineRule="exact"/>
              <w:rPr>
                <w:sz w:val="20"/>
                <w:szCs w:val="20"/>
                <w:color w:val="auto"/>
              </w:rPr>
            </w:pPr>
            <w:r>
              <w:rPr>
                <w:rFonts w:ascii="Arial" w:cs="Arial" w:eastAsia="Arial" w:hAnsi="Arial"/>
                <w:sz w:val="15"/>
                <w:szCs w:val="15"/>
                <w:b w:val="1"/>
                <w:bCs w:val="1"/>
                <w:color w:val="auto"/>
              </w:rPr>
              <w:t>Income from Continuing Operations Before Income Taxes</w:t>
            </w: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24,861</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57,031</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76,093</w:t>
            </w:r>
          </w:p>
        </w:tc>
        <w:tc>
          <w:tcPr>
            <w:tcW w:w="0" w:type="dxa"/>
            <w:vAlign w:val="bottom"/>
          </w:tcPr>
          <w:p>
            <w:pPr>
              <w:spacing w:after="0"/>
              <w:rPr>
                <w:sz w:val="1"/>
                <w:szCs w:val="1"/>
                <w:color w:val="auto"/>
              </w:rPr>
            </w:pPr>
          </w:p>
        </w:tc>
      </w:tr>
      <w:tr>
        <w:trPr>
          <w:trHeight w:val="20"/>
        </w:trPr>
        <w:tc>
          <w:tcPr>
            <w:tcW w:w="64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64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22,024</w:t>
            </w:r>
          </w:p>
        </w:tc>
        <w:tc>
          <w:tcPr>
            <w:tcW w:w="0" w:type="dxa"/>
            <w:vAlign w:val="bottom"/>
          </w:tcPr>
          <w:p>
            <w:pPr>
              <w:spacing w:after="0"/>
              <w:rPr>
                <w:sz w:val="1"/>
                <w:szCs w:val="1"/>
                <w:color w:val="auto"/>
              </w:rPr>
            </w:pPr>
          </w:p>
        </w:tc>
      </w:tr>
      <w:tr>
        <w:trPr>
          <w:trHeight w:val="156"/>
        </w:trPr>
        <w:tc>
          <w:tcPr>
            <w:tcW w:w="642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20,717</w:t>
            </w: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21,011</w:t>
            </w:r>
          </w:p>
        </w:tc>
        <w:tc>
          <w:tcPr>
            <w:tcW w:w="32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32,197</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32,234</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32,310</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6,236</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6,282</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6,274</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3,125</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3,222</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3,126</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190"/>
        </w:trPr>
        <w:tc>
          <w:tcPr>
            <w:tcW w:w="642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62,275</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62,749</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63,739</w:t>
            </w:r>
          </w:p>
        </w:tc>
        <w:tc>
          <w:tcPr>
            <w:tcW w:w="0" w:type="dxa"/>
            <w:vAlign w:val="bottom"/>
          </w:tcPr>
          <w:p>
            <w:pPr>
              <w:spacing w:after="0"/>
              <w:rPr>
                <w:sz w:val="1"/>
                <w:szCs w:val="1"/>
                <w:color w:val="auto"/>
              </w:rPr>
            </w:pPr>
          </w:p>
        </w:tc>
      </w:tr>
      <w:tr>
        <w:trPr>
          <w:trHeight w:val="354"/>
        </w:trPr>
        <w:tc>
          <w:tcPr>
            <w:tcW w:w="6420" w:type="dxa"/>
            <w:vAlign w:val="bottom"/>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4,489</w:t>
            </w:r>
          </w:p>
        </w:tc>
        <w:tc>
          <w:tcPr>
            <w:tcW w:w="0" w:type="dxa"/>
            <w:vAlign w:val="bottom"/>
          </w:tcPr>
          <w:p>
            <w:pPr>
              <w:spacing w:after="0"/>
              <w:rPr>
                <w:sz w:val="1"/>
                <w:szCs w:val="1"/>
                <w:color w:val="auto"/>
              </w:rPr>
            </w:pPr>
          </w:p>
        </w:tc>
      </w:tr>
      <w:tr>
        <w:trPr>
          <w:trHeight w:val="156"/>
        </w:trPr>
        <w:tc>
          <w:tcPr>
            <w:tcW w:w="642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3,236</w:t>
            </w: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3,803</w:t>
            </w:r>
          </w:p>
        </w:tc>
        <w:tc>
          <w:tcPr>
            <w:tcW w:w="32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54</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53</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52</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183</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172</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150</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400</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400</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400</w:t>
            </w:r>
          </w:p>
        </w:tc>
        <w:tc>
          <w:tcPr>
            <w:tcW w:w="0" w:type="dxa"/>
            <w:vAlign w:val="bottom"/>
          </w:tcPr>
          <w:p>
            <w:pPr>
              <w:spacing w:after="0"/>
              <w:rPr>
                <w:sz w:val="1"/>
                <w:szCs w:val="1"/>
                <w:color w:val="auto"/>
              </w:rPr>
            </w:pPr>
          </w:p>
        </w:tc>
      </w:tr>
      <w:tr>
        <w:trPr>
          <w:trHeight w:val="190"/>
        </w:trPr>
        <w:tc>
          <w:tcPr>
            <w:tcW w:w="642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3,873</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4,428</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5,091</w:t>
            </w:r>
          </w:p>
        </w:tc>
        <w:tc>
          <w:tcPr>
            <w:tcW w:w="0" w:type="dxa"/>
            <w:vAlign w:val="bottom"/>
          </w:tcPr>
          <w:p>
            <w:pPr>
              <w:spacing w:after="0"/>
              <w:rPr>
                <w:sz w:val="1"/>
                <w:szCs w:val="1"/>
                <w:color w:val="auto"/>
              </w:rPr>
            </w:pPr>
          </w:p>
        </w:tc>
      </w:tr>
      <w:tr>
        <w:trPr>
          <w:trHeight w:val="354"/>
        </w:trPr>
        <w:tc>
          <w:tcPr>
            <w:tcW w:w="6420" w:type="dxa"/>
            <w:vAlign w:val="bottom"/>
          </w:tcPr>
          <w:p>
            <w:pPr>
              <w:spacing w:after="0"/>
              <w:rPr>
                <w:sz w:val="20"/>
                <w:szCs w:val="20"/>
                <w:color w:val="auto"/>
              </w:rPr>
            </w:pPr>
            <w:r>
              <w:rPr>
                <w:rFonts w:ascii="Arial" w:cs="Arial" w:eastAsia="Arial" w:hAnsi="Arial"/>
                <w:sz w:val="15"/>
                <w:szCs w:val="15"/>
                <w:b w:val="1"/>
                <w:bCs w:val="1"/>
                <w:color w:val="auto"/>
              </w:rPr>
              <w:t>Net Pension Expense (Credit)</w:t>
            </w:r>
          </w:p>
        </w:tc>
        <w:tc>
          <w:tcPr>
            <w:tcW w:w="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3,522</w:t>
            </w:r>
          </w:p>
        </w:tc>
        <w:tc>
          <w:tcPr>
            <w:tcW w:w="0" w:type="dxa"/>
            <w:vAlign w:val="bottom"/>
          </w:tcPr>
          <w:p>
            <w:pPr>
              <w:spacing w:after="0"/>
              <w:rPr>
                <w:sz w:val="1"/>
                <w:szCs w:val="1"/>
                <w:color w:val="auto"/>
              </w:rPr>
            </w:pPr>
          </w:p>
        </w:tc>
      </w:tr>
      <w:tr>
        <w:trPr>
          <w:trHeight w:val="156"/>
        </w:trPr>
        <w:tc>
          <w:tcPr>
            <w:tcW w:w="642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38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380" w:type="dxa"/>
            <w:vAlign w:val="bottom"/>
          </w:tcPr>
          <w:p>
            <w:pPr>
              <w:jc w:val="right"/>
              <w:ind w:right="126"/>
              <w:spacing w:after="0" w:line="156" w:lineRule="exact"/>
              <w:rPr>
                <w:sz w:val="20"/>
                <w:szCs w:val="20"/>
                <w:color w:val="auto"/>
              </w:rPr>
            </w:pPr>
            <w:r>
              <w:rPr>
                <w:rFonts w:ascii="Arial" w:cs="Arial" w:eastAsia="Arial" w:hAnsi="Arial"/>
                <w:sz w:val="15"/>
                <w:szCs w:val="15"/>
                <w:color w:val="auto"/>
              </w:rPr>
              <w:t>2,392</w:t>
            </w:r>
          </w:p>
        </w:tc>
        <w:tc>
          <w:tcPr>
            <w:tcW w:w="440" w:type="dxa"/>
            <w:vAlign w:val="bottom"/>
          </w:tcPr>
          <w:p>
            <w:pPr>
              <w:jc w:val="right"/>
              <w:ind w:right="66"/>
              <w:spacing w:after="0" w:line="156" w:lineRule="exact"/>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line="156" w:lineRule="exact"/>
              <w:rPr>
                <w:sz w:val="20"/>
                <w:szCs w:val="20"/>
                <w:color w:val="auto"/>
              </w:rPr>
            </w:pPr>
            <w:r>
              <w:rPr>
                <w:rFonts w:ascii="Arial" w:cs="Arial" w:eastAsia="Arial" w:hAnsi="Arial"/>
                <w:sz w:val="15"/>
                <w:szCs w:val="15"/>
                <w:color w:val="auto"/>
              </w:rPr>
              <w:t>1,969</w:t>
            </w:r>
          </w:p>
        </w:tc>
        <w:tc>
          <w:tcPr>
            <w:tcW w:w="32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530</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514</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694</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8,601</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7,772</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16,181</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960</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1,055</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1,432</w:t>
            </w:r>
          </w:p>
        </w:tc>
        <w:tc>
          <w:tcPr>
            <w:tcW w:w="0" w:type="dxa"/>
            <w:vAlign w:val="bottom"/>
          </w:tcPr>
          <w:p>
            <w:pPr>
              <w:spacing w:after="0"/>
              <w:rPr>
                <w:sz w:val="1"/>
                <w:szCs w:val="1"/>
                <w:color w:val="auto"/>
              </w:rPr>
            </w:pPr>
          </w:p>
        </w:tc>
      </w:tr>
      <w:tr>
        <w:trPr>
          <w:trHeight w:val="174"/>
        </w:trPr>
        <w:tc>
          <w:tcPr>
            <w:tcW w:w="642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80" w:type="dxa"/>
            <w:vAlign w:val="bottom"/>
          </w:tcPr>
          <w:p>
            <w:pPr>
              <w:spacing w:after="0"/>
              <w:rPr>
                <w:sz w:val="15"/>
                <w:szCs w:val="15"/>
                <w:color w:val="auto"/>
              </w:rPr>
            </w:pPr>
          </w:p>
        </w:tc>
        <w:tc>
          <w:tcPr>
            <w:tcW w:w="1380" w:type="dxa"/>
            <w:vAlign w:val="bottom"/>
          </w:tcPr>
          <w:p>
            <w:pPr>
              <w:jc w:val="right"/>
              <w:ind w:right="126"/>
              <w:spacing w:after="0"/>
              <w:rPr>
                <w:sz w:val="20"/>
                <w:szCs w:val="20"/>
                <w:color w:val="auto"/>
              </w:rPr>
            </w:pPr>
            <w:r>
              <w:rPr>
                <w:rFonts w:ascii="Arial" w:cs="Arial" w:eastAsia="Arial" w:hAnsi="Arial"/>
                <w:sz w:val="15"/>
                <w:szCs w:val="15"/>
                <w:color w:val="auto"/>
              </w:rPr>
              <w:t>10</w:t>
            </w:r>
          </w:p>
        </w:tc>
        <w:tc>
          <w:tcPr>
            <w:tcW w:w="440" w:type="dxa"/>
            <w:vAlign w:val="bottom"/>
          </w:tcPr>
          <w:p>
            <w:pPr>
              <w:spacing w:after="0"/>
              <w:rPr>
                <w:sz w:val="15"/>
                <w:szCs w:val="15"/>
                <w:color w:val="auto"/>
              </w:rPr>
            </w:pP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10</w:t>
            </w:r>
          </w:p>
        </w:tc>
        <w:tc>
          <w:tcPr>
            <w:tcW w:w="3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18</w:t>
            </w:r>
          </w:p>
        </w:tc>
        <w:tc>
          <w:tcPr>
            <w:tcW w:w="0" w:type="dxa"/>
            <w:vAlign w:val="bottom"/>
          </w:tcPr>
          <w:p>
            <w:pPr>
              <w:spacing w:after="0"/>
              <w:rPr>
                <w:sz w:val="1"/>
                <w:szCs w:val="1"/>
                <w:color w:val="auto"/>
              </w:rPr>
            </w:pPr>
          </w:p>
        </w:tc>
      </w:tr>
      <w:tr>
        <w:trPr>
          <w:trHeight w:val="190"/>
        </w:trPr>
        <w:tc>
          <w:tcPr>
            <w:tcW w:w="642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(9,298)</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(8,896)</w:t>
            </w:r>
          </w:p>
        </w:tc>
        <w:tc>
          <w:tcPr>
            <w:tcW w:w="3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(9,021)</w:t>
            </w:r>
          </w:p>
        </w:tc>
        <w:tc>
          <w:tcPr>
            <w:tcW w:w="0" w:type="dxa"/>
            <w:vAlign w:val="bottom"/>
          </w:tcPr>
          <w:p>
            <w:pPr>
              <w:spacing w:after="0"/>
              <w:rPr>
                <w:sz w:val="1"/>
                <w:szCs w:val="1"/>
                <w:color w:val="auto"/>
              </w:rPr>
            </w:pPr>
          </w:p>
        </w:tc>
      </w:tr>
      <w:tr>
        <w:trPr>
          <w:trHeight w:val="166"/>
        </w:trPr>
        <w:tc>
          <w:tcPr>
            <w:tcW w:w="6420" w:type="dxa"/>
            <w:vAlign w:val="bottom"/>
          </w:tcPr>
          <w:p>
            <w:pPr>
              <w:spacing w:after="0"/>
              <w:rPr>
                <w:sz w:val="14"/>
                <w:szCs w:val="14"/>
                <w:color w:val="auto"/>
              </w:rPr>
            </w:pPr>
          </w:p>
        </w:tc>
        <w:tc>
          <w:tcPr>
            <w:tcW w:w="38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380" w:type="dxa"/>
            <w:vAlign w:val="bottom"/>
            <w:tcBorders>
              <w:bottom w:val="single" w:sz="8" w:color="auto"/>
            </w:tcBorders>
          </w:tcPr>
          <w:p>
            <w:pPr>
              <w:jc w:val="right"/>
              <w:ind w:right="126"/>
              <w:spacing w:after="0" w:line="167" w:lineRule="exact"/>
              <w:rPr>
                <w:sz w:val="20"/>
                <w:szCs w:val="20"/>
                <w:color w:val="auto"/>
              </w:rPr>
            </w:pPr>
            <w:r>
              <w:rPr>
                <w:rFonts w:ascii="Arial" w:cs="Arial" w:eastAsia="Arial" w:hAnsi="Arial"/>
                <w:sz w:val="15"/>
                <w:szCs w:val="15"/>
                <w:color w:val="auto"/>
              </w:rPr>
              <w:t>3,195</w:t>
            </w:r>
          </w:p>
        </w:tc>
        <w:tc>
          <w:tcPr>
            <w:tcW w:w="440" w:type="dxa"/>
            <w:vAlign w:val="bottom"/>
            <w:tcBorders>
              <w:bottom w:val="single" w:sz="8" w:color="auto"/>
            </w:tcBorders>
          </w:tcPr>
          <w:p>
            <w:pPr>
              <w:jc w:val="right"/>
              <w:ind w:right="66"/>
              <w:spacing w:after="0" w:line="167" w:lineRule="exact"/>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tcPr>
          <w:p>
            <w:pPr>
              <w:jc w:val="right"/>
              <w:ind w:right="146"/>
              <w:spacing w:after="0" w:line="167" w:lineRule="exact"/>
              <w:rPr>
                <w:sz w:val="20"/>
                <w:szCs w:val="20"/>
                <w:color w:val="auto"/>
              </w:rPr>
            </w:pPr>
            <w:r>
              <w:rPr>
                <w:rFonts w:ascii="Arial" w:cs="Arial" w:eastAsia="Arial" w:hAnsi="Arial"/>
                <w:sz w:val="15"/>
                <w:szCs w:val="15"/>
                <w:color w:val="auto"/>
              </w:rPr>
              <w:t>2,424</w:t>
            </w:r>
          </w:p>
        </w:tc>
        <w:tc>
          <w:tcPr>
            <w:tcW w:w="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12,826</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color w:val="auto"/>
        </w:rPr>
        <w:t>The following table summarizes the 2011 quarterly financial information related to each of the Company’s business segments: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40" w:type="dxa"/>
            <w:vAlign w:val="bottom"/>
          </w:tcPr>
          <w:p>
            <w:pPr>
              <w:jc w:val="right"/>
              <w:ind w:right="426"/>
              <w:spacing w:after="0"/>
              <w:rPr>
                <w:sz w:val="20"/>
                <w:szCs w:val="20"/>
                <w:color w:val="auto"/>
              </w:rPr>
            </w:pPr>
            <w:r>
              <w:rPr>
                <w:rFonts w:ascii="Arial" w:cs="Arial" w:eastAsia="Arial" w:hAnsi="Arial"/>
                <w:sz w:val="12"/>
                <w:szCs w:val="12"/>
                <w:color w:val="auto"/>
              </w:rPr>
              <w:t>April 3,</w:t>
            </w:r>
          </w:p>
        </w:tc>
        <w:tc>
          <w:tcPr>
            <w:tcW w:w="340" w:type="dxa"/>
            <w:vAlign w:val="bottom"/>
          </w:tcPr>
          <w:p>
            <w:pPr>
              <w:spacing w:after="0"/>
              <w:rPr>
                <w:sz w:val="12"/>
                <w:szCs w:val="12"/>
                <w:color w:val="auto"/>
              </w:rPr>
            </w:pPr>
          </w:p>
        </w:tc>
        <w:tc>
          <w:tcPr>
            <w:tcW w:w="1020" w:type="dxa"/>
            <w:vAlign w:val="bottom"/>
          </w:tcPr>
          <w:p>
            <w:pPr>
              <w:jc w:val="right"/>
              <w:ind w:right="426"/>
              <w:spacing w:after="0"/>
              <w:rPr>
                <w:sz w:val="20"/>
                <w:szCs w:val="20"/>
                <w:color w:val="auto"/>
              </w:rPr>
            </w:pPr>
            <w:r>
              <w:rPr>
                <w:rFonts w:ascii="Arial" w:cs="Arial" w:eastAsia="Arial" w:hAnsi="Arial"/>
                <w:sz w:val="12"/>
                <w:szCs w:val="12"/>
                <w:color w:val="auto"/>
              </w:rPr>
              <w:t>July 3,</w:t>
            </w:r>
          </w:p>
        </w:tc>
        <w:tc>
          <w:tcPr>
            <w:tcW w:w="280" w:type="dxa"/>
            <w:vAlign w:val="bottom"/>
          </w:tcPr>
          <w:p>
            <w:pPr>
              <w:spacing w:after="0"/>
              <w:rPr>
                <w:sz w:val="12"/>
                <w:szCs w:val="12"/>
                <w:color w:val="auto"/>
              </w:rPr>
            </w:pPr>
          </w:p>
        </w:tc>
        <w:tc>
          <w:tcPr>
            <w:tcW w:w="1140" w:type="dxa"/>
            <w:vAlign w:val="bottom"/>
          </w:tcPr>
          <w:p>
            <w:pPr>
              <w:jc w:val="right"/>
              <w:ind w:right="366"/>
              <w:spacing w:after="0"/>
              <w:rPr>
                <w:sz w:val="20"/>
                <w:szCs w:val="20"/>
                <w:color w:val="auto"/>
              </w:rPr>
            </w:pPr>
            <w:r>
              <w:rPr>
                <w:rFonts w:ascii="Arial" w:cs="Arial" w:eastAsia="Arial" w:hAnsi="Arial"/>
                <w:sz w:val="12"/>
                <w:szCs w:val="12"/>
                <w:color w:val="auto"/>
              </w:rPr>
              <w:t>October 2,</w:t>
            </w:r>
          </w:p>
        </w:tc>
        <w:tc>
          <w:tcPr>
            <w:tcW w:w="260" w:type="dxa"/>
            <w:vAlign w:val="bottom"/>
          </w:tcPr>
          <w:p>
            <w:pPr>
              <w:spacing w:after="0"/>
              <w:rPr>
                <w:sz w:val="12"/>
                <w:szCs w:val="12"/>
                <w:color w:val="auto"/>
              </w:rPr>
            </w:pPr>
          </w:p>
        </w:tc>
        <w:tc>
          <w:tcPr>
            <w:tcW w:w="1100" w:type="dxa"/>
            <w:vAlign w:val="bottom"/>
          </w:tcPr>
          <w:p>
            <w:pPr>
              <w:jc w:val="right"/>
              <w:ind w:right="206"/>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75"/>
        </w:trPr>
        <w:tc>
          <w:tcPr>
            <w:tcW w:w="58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2011</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2011</w:t>
            </w: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6"/>
              <w:spacing w:after="0"/>
              <w:rPr>
                <w:sz w:val="20"/>
                <w:szCs w:val="20"/>
                <w:color w:val="auto"/>
              </w:rPr>
            </w:pPr>
            <w:r>
              <w:rPr>
                <w:rFonts w:ascii="Arial" w:cs="Arial" w:eastAsia="Arial" w:hAnsi="Arial"/>
                <w:sz w:val="12"/>
                <w:szCs w:val="12"/>
                <w:color w:val="auto"/>
              </w:rPr>
              <w:t>2011</w:t>
            </w: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611,714</w:t>
            </w:r>
          </w:p>
        </w:tc>
        <w:tc>
          <w:tcPr>
            <w:tcW w:w="3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610,371</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601,611</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580,763</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190,280</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191,231</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187,892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190,818</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151,053</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155,863</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143,495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172,121</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72,183</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84,940</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73,830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88,253</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3,944</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6,909</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5,764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8,890</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(253)</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(94)</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(424)</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1,028,921</w:t>
            </w: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1,049,305</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1,012,498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1,040,421</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5"/>
                <w:szCs w:val="15"/>
                <w:b w:val="1"/>
                <w:bCs w:val="1"/>
                <w:color w:val="auto"/>
              </w:rPr>
              <w:t>Income (Loss) From Operations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21,029</w:t>
            </w:r>
          </w:p>
        </w:tc>
        <w:tc>
          <w:tcPr>
            <w:tcW w:w="3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23,556</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20,808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30,893</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37,707</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40,425</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36,795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41,917</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(13,712)</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(3,524)</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(10,761)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6,793</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19,591</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32,571</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24,073</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40,854</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(1,918)</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(2,008)</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(1,745)</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(3,064)</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(2,928)</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(4,433)</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1,069</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(8,130)</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59,769</w:t>
            </w: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86,587</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70,239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109,263</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5"/>
                <w:szCs w:val="15"/>
                <w:b w:val="1"/>
                <w:bCs w:val="1"/>
                <w:color w:val="auto"/>
              </w:rPr>
              <w:t>Equity in Earnings (Losses) of Affiliates, Net</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3,737</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3,138</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(1,494)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568</w:t>
            </w:r>
          </w:p>
        </w:tc>
        <w:tc>
          <w:tcPr>
            <w:tcW w:w="0" w:type="dxa"/>
            <w:vAlign w:val="bottom"/>
          </w:tcPr>
          <w:p>
            <w:pPr>
              <w:spacing w:after="0"/>
              <w:rPr>
                <w:sz w:val="1"/>
                <w:szCs w:val="1"/>
                <w:color w:val="auto"/>
              </w:rPr>
            </w:pPr>
          </w:p>
        </w:tc>
      </w:tr>
      <w:tr>
        <w:trPr>
          <w:trHeight w:val="211"/>
        </w:trPr>
        <w:tc>
          <w:tcPr>
            <w:tcW w:w="584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(6,979)</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(6,963)</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(7,673)</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(7,464)</w:t>
            </w:r>
          </w:p>
        </w:tc>
        <w:tc>
          <w:tcPr>
            <w:tcW w:w="0" w:type="dxa"/>
            <w:vAlign w:val="bottom"/>
          </w:tcPr>
          <w:p>
            <w:pPr>
              <w:spacing w:after="0"/>
              <w:rPr>
                <w:sz w:val="1"/>
                <w:szCs w:val="1"/>
                <w:color w:val="auto"/>
              </w:rPr>
            </w:pPr>
          </w:p>
        </w:tc>
      </w:tr>
      <w:tr>
        <w:trPr>
          <w:trHeight w:val="204"/>
        </w:trPr>
        <w:tc>
          <w:tcPr>
            <w:tcW w:w="5840" w:type="dxa"/>
            <w:vAlign w:val="bottom"/>
          </w:tcPr>
          <w:p>
            <w:pPr>
              <w:spacing w:after="0"/>
              <w:rPr>
                <w:sz w:val="20"/>
                <w:szCs w:val="20"/>
                <w:color w:val="auto"/>
              </w:rPr>
            </w:pPr>
            <w:r>
              <w:rPr>
                <w:rFonts w:ascii="Arial" w:cs="Arial" w:eastAsia="Arial" w:hAnsi="Arial"/>
                <w:sz w:val="15"/>
                <w:szCs w:val="15"/>
                <w:b w:val="1"/>
                <w:bCs w:val="1"/>
                <w:color w:val="auto"/>
              </w:rPr>
              <w:t>Other (Expense) Income, Net</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(24,032)</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(2,591)</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(29,650)</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32,495</w:t>
            </w: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80,171</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31,422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103,440</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4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19,989</w:t>
            </w:r>
          </w:p>
        </w:tc>
        <w:tc>
          <w:tcPr>
            <w:tcW w:w="3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21,308</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20,338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22,100</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31,786</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31,533</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31,661</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31,322</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6,900</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6,540</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6,453</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6,443</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3,110</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3,134</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3,137</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3,067</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144</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100</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61,929</w:t>
            </w: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62,615</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61,589</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62,932</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4,413</w:t>
            </w:r>
          </w:p>
        </w:tc>
        <w:tc>
          <w:tcPr>
            <w:tcW w:w="3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5,042</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5,568</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4,394</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73</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66</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62</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66</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290</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289</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290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182</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400</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400</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400</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5,176</w:t>
            </w: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5,797</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6,320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5,042</w:t>
            </w:r>
          </w:p>
        </w:tc>
        <w:tc>
          <w:tcPr>
            <w:tcW w:w="0" w:type="dxa"/>
            <w:vAlign w:val="bottom"/>
          </w:tcPr>
          <w:p>
            <w:pPr>
              <w:spacing w:after="0"/>
              <w:rPr>
                <w:sz w:val="1"/>
                <w:szCs w:val="1"/>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5"/>
                <w:szCs w:val="15"/>
                <w:b w:val="1"/>
                <w:bCs w:val="1"/>
                <w:color w:val="auto"/>
              </w:rPr>
              <w:t>Net Pension Expense (Credit)</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400" w:type="dxa"/>
            <w:vAlign w:val="bottom"/>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1,552</w:t>
            </w:r>
          </w:p>
        </w:tc>
        <w:tc>
          <w:tcPr>
            <w:tcW w:w="34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1,652</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1,655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1,486</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400" w:type="dxa"/>
            <w:vAlign w:val="bottom"/>
          </w:tcPr>
          <w:p>
            <w:pPr>
              <w:spacing w:after="0"/>
              <w:rPr>
                <w:sz w:val="17"/>
                <w:szCs w:val="17"/>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518</w:t>
            </w:r>
          </w:p>
        </w:tc>
        <w:tc>
          <w:tcPr>
            <w:tcW w:w="340" w:type="dxa"/>
            <w:vAlign w:val="bottom"/>
          </w:tcPr>
          <w:p>
            <w:pPr>
              <w:spacing w:after="0"/>
              <w:rPr>
                <w:sz w:val="17"/>
                <w:szCs w:val="17"/>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497</w:t>
            </w:r>
          </w:p>
        </w:tc>
        <w:tc>
          <w:tcPr>
            <w:tcW w:w="280" w:type="dxa"/>
            <w:vAlign w:val="bottom"/>
          </w:tcPr>
          <w:p>
            <w:pPr>
              <w:spacing w:after="0"/>
              <w:rPr>
                <w:sz w:val="17"/>
                <w:szCs w:val="17"/>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455</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454</w:t>
            </w:r>
          </w:p>
        </w:tc>
        <w:tc>
          <w:tcPr>
            <w:tcW w:w="0" w:type="dxa"/>
            <w:vAlign w:val="bottom"/>
          </w:tcPr>
          <w:p>
            <w:pPr>
              <w:spacing w:after="0"/>
              <w:rPr>
                <w:sz w:val="1"/>
                <w:szCs w:val="1"/>
                <w:color w:val="auto"/>
              </w:rPr>
            </w:pPr>
          </w:p>
        </w:tc>
      </w:tr>
      <w:tr>
        <w:trPr>
          <w:trHeight w:val="251"/>
        </w:trPr>
        <w:tc>
          <w:tcPr>
            <w:tcW w:w="5840" w:type="dxa"/>
            <w:vAlign w:val="bottom"/>
          </w:tcPr>
          <w:p>
            <w:pPr>
              <w:ind w:left="240"/>
              <w:spacing w:after="0" w:line="250" w:lineRule="exact"/>
              <w:rPr>
                <w:sz w:val="20"/>
                <w:szCs w:val="20"/>
                <w:color w:val="auto"/>
              </w:rPr>
            </w:pPr>
            <w:r>
              <w:rPr>
                <w:rFonts w:ascii="Arial" w:cs="Arial" w:eastAsia="Arial" w:hAnsi="Arial"/>
                <w:sz w:val="15"/>
                <w:szCs w:val="15"/>
                <w:color w:val="auto"/>
              </w:rPr>
              <w:t>Newspaper publishing</w:t>
            </w:r>
            <w:r>
              <w:rPr>
                <w:rFonts w:ascii="Arial" w:cs="Arial" w:eastAsia="Arial" w:hAnsi="Arial"/>
                <w:sz w:val="24"/>
                <w:szCs w:val="24"/>
                <w:color w:val="auto"/>
                <w:vertAlign w:val="superscript"/>
              </w:rPr>
              <w:t>(1)</w:t>
            </w:r>
          </w:p>
        </w:tc>
        <w:tc>
          <w:tcPr>
            <w:tcW w:w="400" w:type="dxa"/>
            <w:vAlign w:val="bottom"/>
          </w:tcPr>
          <w:p>
            <w:pPr>
              <w:spacing w:after="0"/>
              <w:rPr>
                <w:sz w:val="21"/>
                <w:szCs w:val="21"/>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6,700</w:t>
            </w:r>
          </w:p>
        </w:tc>
        <w:tc>
          <w:tcPr>
            <w:tcW w:w="340" w:type="dxa"/>
            <w:vAlign w:val="bottom"/>
          </w:tcPr>
          <w:p>
            <w:pPr>
              <w:spacing w:after="0"/>
              <w:rPr>
                <w:sz w:val="21"/>
                <w:szCs w:val="21"/>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5,285</w:t>
            </w:r>
          </w:p>
        </w:tc>
        <w:tc>
          <w:tcPr>
            <w:tcW w:w="280" w:type="dxa"/>
            <w:vAlign w:val="bottom"/>
          </w:tcPr>
          <w:p>
            <w:pPr>
              <w:spacing w:after="0"/>
              <w:rPr>
                <w:sz w:val="21"/>
                <w:szCs w:val="21"/>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5,241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8,057</w:t>
            </w:r>
          </w:p>
        </w:tc>
        <w:tc>
          <w:tcPr>
            <w:tcW w:w="0" w:type="dxa"/>
            <w:vAlign w:val="bottom"/>
          </w:tcPr>
          <w:p>
            <w:pPr>
              <w:spacing w:after="0"/>
              <w:rPr>
                <w:sz w:val="1"/>
                <w:szCs w:val="1"/>
                <w:color w:val="auto"/>
              </w:rPr>
            </w:pPr>
          </w:p>
        </w:tc>
      </w:tr>
      <w:tr>
        <w:trPr>
          <w:trHeight w:val="179"/>
        </w:trPr>
        <w:tc>
          <w:tcPr>
            <w:tcW w:w="584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400" w:type="dxa"/>
            <w:vAlign w:val="bottom"/>
          </w:tcPr>
          <w:p>
            <w:pPr>
              <w:spacing w:after="0"/>
              <w:rPr>
                <w:sz w:val="15"/>
                <w:szCs w:val="15"/>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646</w:t>
            </w:r>
          </w:p>
        </w:tc>
        <w:tc>
          <w:tcPr>
            <w:tcW w:w="34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335</w:t>
            </w:r>
          </w:p>
        </w:tc>
        <w:tc>
          <w:tcPr>
            <w:tcW w:w="280" w:type="dxa"/>
            <w:vAlign w:val="bottom"/>
          </w:tcPr>
          <w:p>
            <w:pPr>
              <w:spacing w:after="0"/>
              <w:rPr>
                <w:sz w:val="15"/>
                <w:szCs w:val="15"/>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325</w:t>
            </w: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11"/>
        </w:trPr>
        <w:tc>
          <w:tcPr>
            <w:tcW w:w="584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400" w:type="dxa"/>
            <w:vAlign w:val="bottom"/>
          </w:tcPr>
          <w:p>
            <w:pPr>
              <w:spacing w:after="0"/>
              <w:rPr>
                <w:sz w:val="18"/>
                <w:szCs w:val="18"/>
                <w:color w:val="auto"/>
              </w:rPr>
            </w:pPr>
          </w:p>
        </w:tc>
        <w:tc>
          <w:tcPr>
            <w:tcW w:w="1040" w:type="dxa"/>
            <w:vAlign w:val="bottom"/>
          </w:tcPr>
          <w:p>
            <w:pPr>
              <w:jc w:val="right"/>
              <w:ind w:right="26"/>
              <w:spacing w:after="0"/>
              <w:rPr>
                <w:sz w:val="20"/>
                <w:szCs w:val="20"/>
                <w:color w:val="auto"/>
              </w:rPr>
            </w:pP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20" w:type="dxa"/>
            <w:vAlign w:val="bottom"/>
          </w:tcPr>
          <w:p>
            <w:pPr>
              <w:jc w:val="right"/>
              <w:ind w:right="26"/>
              <w:spacing w:after="0"/>
              <w:rPr>
                <w:sz w:val="20"/>
                <w:szCs w:val="20"/>
                <w:color w:val="auto"/>
              </w:rPr>
            </w:pPr>
            <w:r>
              <w:rPr>
                <w:rFonts w:ascii="Arial" w:cs="Arial" w:eastAsia="Arial" w:hAnsi="Arial"/>
                <w:sz w:val="15"/>
                <w:szCs w:val="15"/>
                <w:color w:val="auto"/>
              </w:rPr>
              <w:t>4</w:t>
            </w:r>
          </w:p>
        </w:tc>
        <w:tc>
          <w:tcPr>
            <w:tcW w:w="280" w:type="dxa"/>
            <w:vAlign w:val="bottom"/>
          </w:tcPr>
          <w:p>
            <w:pPr>
              <w:spacing w:after="0"/>
              <w:rPr>
                <w:sz w:val="18"/>
                <w:szCs w:val="18"/>
                <w:color w:val="auto"/>
              </w:rPr>
            </w:pPr>
          </w:p>
        </w:tc>
        <w:tc>
          <w:tcPr>
            <w:tcW w:w="1140" w:type="dxa"/>
            <w:vAlign w:val="bottom"/>
          </w:tcPr>
          <w:p>
            <w:pPr>
              <w:jc w:val="right"/>
              <w:ind w:right="66"/>
              <w:spacing w:after="0"/>
              <w:rPr>
                <w:sz w:val="20"/>
                <w:szCs w:val="20"/>
                <w:color w:val="auto"/>
              </w:rPr>
            </w:pPr>
            <w:r>
              <w:rPr>
                <w:rFonts w:ascii="Arial" w:cs="Arial" w:eastAsia="Arial" w:hAnsi="Arial"/>
                <w:sz w:val="15"/>
                <w:szCs w:val="15"/>
                <w:color w:val="auto"/>
              </w:rPr>
              <w:t>4</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4"/>
        </w:trPr>
        <w:tc>
          <w:tcPr>
            <w:tcW w:w="584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(9,297)</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(9,247)</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(9,185)</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(9,254)</w:t>
            </w:r>
          </w:p>
        </w:tc>
        <w:tc>
          <w:tcPr>
            <w:tcW w:w="0" w:type="dxa"/>
            <w:vAlign w:val="bottom"/>
          </w:tcPr>
          <w:p>
            <w:pPr>
              <w:spacing w:after="0"/>
              <w:rPr>
                <w:sz w:val="1"/>
                <w:szCs w:val="1"/>
                <w:color w:val="auto"/>
              </w:rPr>
            </w:pPr>
          </w:p>
        </w:tc>
      </w:tr>
      <w:tr>
        <w:trPr>
          <w:trHeight w:val="203"/>
        </w:trPr>
        <w:tc>
          <w:tcPr>
            <w:tcW w:w="5840" w:type="dxa"/>
            <w:vAlign w:val="bottom"/>
          </w:tcPr>
          <w:p>
            <w:pPr>
              <w:spacing w:after="0"/>
              <w:rPr>
                <w:sz w:val="17"/>
                <w:szCs w:val="17"/>
                <w:color w:val="auto"/>
              </w:rPr>
            </w:pPr>
          </w:p>
        </w:tc>
        <w:tc>
          <w:tcPr>
            <w:tcW w:w="400" w:type="dxa"/>
            <w:vAlign w:val="bottom"/>
            <w:tcBorders>
              <w:bottom w:val="single" w:sz="8" w:color="auto"/>
            </w:tcBorders>
          </w:tcPr>
          <w:p>
            <w:pPr>
              <w:jc w:val="right"/>
              <w:ind w:right="86"/>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124</w:t>
            </w:r>
          </w:p>
        </w:tc>
        <w:tc>
          <w:tcPr>
            <w:tcW w:w="34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(1,474)</w:t>
            </w:r>
          </w:p>
        </w:tc>
        <w:tc>
          <w:tcPr>
            <w:tcW w:w="2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rPr>
              <w:t>(1,505)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3"/>
          <w:szCs w:val="13"/>
          <w:color w:val="auto"/>
        </w:rPr>
        <w:t>(1) Includes a $2.4 million charge in the fourth quarter of 2011 related to the withdrawal from a multiemployer pension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The following table summarizes financial information related to each of the Company’s business segments: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gridSpan w:val="3"/>
          </w:tcPr>
          <w:p>
            <w:pPr>
              <w:jc w:val="right"/>
              <w:ind w:right="1006"/>
              <w:spacing w:after="0"/>
              <w:rPr>
                <w:sz w:val="20"/>
                <w:szCs w:val="20"/>
                <w:color w:val="auto"/>
              </w:rPr>
            </w:pPr>
            <w:r>
              <w:rPr>
                <w:rFonts w:ascii="Arial" w:cs="Arial" w:eastAsia="Arial" w:hAnsi="Arial"/>
                <w:sz w:val="12"/>
                <w:szCs w:val="12"/>
                <w:b w:val="1"/>
                <w:bCs w:val="1"/>
                <w:color w:val="auto"/>
              </w:rPr>
              <w:t>Nine Months Ended</w:t>
            </w:r>
          </w:p>
        </w:tc>
        <w:tc>
          <w:tcPr>
            <w:tcW w:w="3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Fiscal Year Ended</w:t>
            </w: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5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46"/>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5"/>
                <w:szCs w:val="15"/>
                <w:color w:val="auto"/>
              </w:rPr>
            </w:pPr>
          </w:p>
        </w:tc>
        <w:tc>
          <w:tcPr>
            <w:tcW w:w="1220" w:type="dxa"/>
            <w:vAlign w:val="bottom"/>
          </w:tcPr>
          <w:p>
            <w:pPr>
              <w:jc w:val="right"/>
              <w:ind w:right="486"/>
              <w:spacing w:after="0"/>
              <w:rPr>
                <w:sz w:val="20"/>
                <w:szCs w:val="20"/>
                <w:color w:val="auto"/>
              </w:rPr>
            </w:pPr>
            <w:r>
              <w:rPr>
                <w:rFonts w:ascii="Arial" w:cs="Arial" w:eastAsia="Arial" w:hAnsi="Arial"/>
                <w:sz w:val="12"/>
                <w:szCs w:val="12"/>
                <w:color w:val="auto"/>
              </w:rPr>
              <w:t>October 2,</w:t>
            </w:r>
          </w:p>
        </w:tc>
        <w:tc>
          <w:tcPr>
            <w:tcW w:w="320" w:type="dxa"/>
            <w:vAlign w:val="bottom"/>
          </w:tcPr>
          <w:p>
            <w:pPr>
              <w:spacing w:after="0"/>
              <w:rPr>
                <w:sz w:val="15"/>
                <w:szCs w:val="15"/>
                <w:color w:val="auto"/>
              </w:rPr>
            </w:pPr>
          </w:p>
        </w:tc>
        <w:tc>
          <w:tcPr>
            <w:tcW w:w="1260" w:type="dxa"/>
            <w:vAlign w:val="bottom"/>
          </w:tcPr>
          <w:p>
            <w:pPr>
              <w:jc w:val="right"/>
              <w:ind w:right="386"/>
              <w:spacing w:after="0"/>
              <w:rPr>
                <w:sz w:val="20"/>
                <w:szCs w:val="20"/>
                <w:color w:val="auto"/>
              </w:rPr>
            </w:pPr>
            <w:r>
              <w:rPr>
                <w:rFonts w:ascii="Arial" w:cs="Arial" w:eastAsia="Arial" w:hAnsi="Arial"/>
                <w:sz w:val="12"/>
                <w:szCs w:val="12"/>
                <w:color w:val="auto"/>
              </w:rPr>
              <w:t>December 31,</w:t>
            </w:r>
          </w:p>
        </w:tc>
        <w:tc>
          <w:tcPr>
            <w:tcW w:w="460" w:type="dxa"/>
            <w:vAlign w:val="bottom"/>
          </w:tcPr>
          <w:p>
            <w:pPr>
              <w:spacing w:after="0"/>
              <w:rPr>
                <w:sz w:val="15"/>
                <w:szCs w:val="15"/>
                <w:color w:val="auto"/>
              </w:rPr>
            </w:pPr>
          </w:p>
        </w:tc>
        <w:tc>
          <w:tcPr>
            <w:tcW w:w="960" w:type="dxa"/>
            <w:vAlign w:val="bottom"/>
          </w:tcPr>
          <w:p>
            <w:pPr>
              <w:jc w:val="right"/>
              <w:ind w:right="306"/>
              <w:spacing w:after="0"/>
              <w:rPr>
                <w:sz w:val="20"/>
                <w:szCs w:val="20"/>
                <w:color w:val="auto"/>
              </w:rPr>
            </w:pPr>
            <w:r>
              <w:rPr>
                <w:rFonts w:ascii="Arial" w:cs="Arial" w:eastAsia="Arial" w:hAnsi="Arial"/>
                <w:sz w:val="12"/>
                <w:szCs w:val="12"/>
                <w:color w:val="auto"/>
                <w:w w:val="99"/>
              </w:rPr>
              <w:t>January 2,</w:t>
            </w:r>
          </w:p>
        </w:tc>
        <w:tc>
          <w:tcPr>
            <w:tcW w:w="0" w:type="dxa"/>
            <w:vAlign w:val="bottom"/>
          </w:tcPr>
          <w:p>
            <w:pPr>
              <w:spacing w:after="0"/>
              <w:rPr>
                <w:sz w:val="1"/>
                <w:szCs w:val="1"/>
                <w:color w:val="auto"/>
              </w:rPr>
            </w:pPr>
          </w:p>
        </w:tc>
      </w:tr>
      <w:tr>
        <w:trPr>
          <w:trHeight w:val="175"/>
        </w:trPr>
        <w:tc>
          <w:tcPr>
            <w:tcW w:w="52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2011</w:t>
            </w: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46"/>
              <w:spacing w:after="0"/>
              <w:rPr>
                <w:sz w:val="20"/>
                <w:szCs w:val="20"/>
                <w:color w:val="auto"/>
              </w:rPr>
            </w:pPr>
            <w:r>
              <w:rPr>
                <w:rFonts w:ascii="Arial" w:cs="Arial" w:eastAsia="Arial" w:hAnsi="Arial"/>
                <w:sz w:val="12"/>
                <w:szCs w:val="12"/>
                <w:color w:val="auto"/>
              </w:rPr>
              <w:t>2011</w:t>
            </w: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5"/>
                <w:szCs w:val="15"/>
                <w:b w:val="1"/>
                <w:bCs w:val="1"/>
                <w:color w:val="auto"/>
              </w:rPr>
              <w:t>Operating Revenues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1,652,067</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1,823,696</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2,404,459</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2,804,840</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585,414</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569,403</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760,221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759,884</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419,550</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450,411</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622,532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675,931</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283,499</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230,953</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319,206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342,164</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27,779</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16,617</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25,507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4,442</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(752)</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(356)</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(780)</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(844)</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2,967,557</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3,090,724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4,131,145</w:t>
            </w: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4,586,417</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5"/>
                <w:szCs w:val="15"/>
                <w:b w:val="1"/>
                <w:bCs w:val="1"/>
                <w:color w:val="auto"/>
              </w:rPr>
              <w:t>Income (Loss) from Operations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6,506</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65,393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96,286</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359,584</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111,136</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114,927</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156,844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163,945</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(56,335)</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(27,997)</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(21,204)</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(11,115)</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128,809</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76,235</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117,089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121,348</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(16,666)</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(5,671)</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(8,735)</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(6,326)</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(14,494)</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(6,292)</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(14,422)</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(24,572)</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158,956</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216,595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325,858</w:t>
            </w: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602,864</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5"/>
                <w:szCs w:val="15"/>
                <w:b w:val="1"/>
                <w:bCs w:val="1"/>
                <w:color w:val="auto"/>
              </w:rPr>
              <w:t>Equity in Earnings (Losses) of Affiliates, Net</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11,301</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5,381</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5,949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(4,133)</w:t>
            </w:r>
          </w:p>
        </w:tc>
        <w:tc>
          <w:tcPr>
            <w:tcW w:w="0" w:type="dxa"/>
            <w:vAlign w:val="bottom"/>
          </w:tcPr>
          <w:p>
            <w:pPr>
              <w:spacing w:after="0"/>
              <w:rPr>
                <w:sz w:val="1"/>
                <w:szCs w:val="1"/>
                <w:color w:val="auto"/>
              </w:rPr>
            </w:pPr>
          </w:p>
        </w:tc>
      </w:tr>
      <w:tr>
        <w:trPr>
          <w:trHeight w:val="211"/>
        </w:trPr>
        <w:tc>
          <w:tcPr>
            <w:tcW w:w="5280" w:type="dxa"/>
            <w:vAlign w:val="bottom"/>
          </w:tcPr>
          <w:p>
            <w:pPr>
              <w:spacing w:after="0"/>
              <w:rPr>
                <w:sz w:val="20"/>
                <w:szCs w:val="20"/>
                <w:color w:val="auto"/>
              </w:rPr>
            </w:pPr>
            <w:r>
              <w:rPr>
                <w:rFonts w:ascii="Arial" w:cs="Arial" w:eastAsia="Arial" w:hAnsi="Arial"/>
                <w:sz w:val="15"/>
                <w:szCs w:val="15"/>
                <w:b w:val="1"/>
                <w:bCs w:val="1"/>
                <w:color w:val="auto"/>
              </w:rPr>
              <w:t>Interest Expense, Net</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(24,388)</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(21,615)</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(29,079)</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(27,927)</w:t>
            </w:r>
          </w:p>
        </w:tc>
        <w:tc>
          <w:tcPr>
            <w:tcW w:w="0" w:type="dxa"/>
            <w:vAlign w:val="bottom"/>
          </w:tcPr>
          <w:p>
            <w:pPr>
              <w:spacing w:after="0"/>
              <w:rPr>
                <w:sz w:val="1"/>
                <w:szCs w:val="1"/>
                <w:color w:val="auto"/>
              </w:rPr>
            </w:pPr>
          </w:p>
        </w:tc>
      </w:tr>
      <w:tr>
        <w:trPr>
          <w:trHeight w:val="204"/>
        </w:trPr>
        <w:tc>
          <w:tcPr>
            <w:tcW w:w="5280" w:type="dxa"/>
            <w:vAlign w:val="bottom"/>
          </w:tcPr>
          <w:p>
            <w:pPr>
              <w:spacing w:after="0"/>
              <w:rPr>
                <w:sz w:val="20"/>
                <w:szCs w:val="20"/>
                <w:color w:val="auto"/>
              </w:rPr>
            </w:pPr>
            <w:r>
              <w:rPr>
                <w:rFonts w:ascii="Arial" w:cs="Arial" w:eastAsia="Arial" w:hAnsi="Arial"/>
                <w:sz w:val="15"/>
                <w:szCs w:val="15"/>
                <w:b w:val="1"/>
                <w:bCs w:val="1"/>
                <w:color w:val="auto"/>
              </w:rPr>
              <w:t>Other Income (Expense), Net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12,116</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(56,273)</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(55,200)</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7,515</w:t>
            </w:r>
          </w:p>
        </w:tc>
        <w:tc>
          <w:tcPr>
            <w:tcW w:w="0" w:type="dxa"/>
            <w:vAlign w:val="bottom"/>
          </w:tcPr>
          <w:p>
            <w:pPr>
              <w:spacing w:after="0"/>
              <w:rPr>
                <w:sz w:val="1"/>
                <w:szCs w:val="1"/>
                <w:color w:val="auto"/>
              </w:rPr>
            </w:pPr>
          </w:p>
        </w:tc>
      </w:tr>
      <w:tr>
        <w:trPr>
          <w:trHeight w:val="179"/>
        </w:trPr>
        <w:tc>
          <w:tcPr>
            <w:tcW w:w="5280" w:type="dxa"/>
            <w:vAlign w:val="bottom"/>
          </w:tcPr>
          <w:p>
            <w:pPr>
              <w:spacing w:after="0"/>
              <w:rPr>
                <w:sz w:val="20"/>
                <w:szCs w:val="20"/>
                <w:color w:val="auto"/>
              </w:rPr>
            </w:pPr>
            <w:r>
              <w:rPr>
                <w:rFonts w:ascii="Arial" w:cs="Arial" w:eastAsia="Arial" w:hAnsi="Arial"/>
                <w:sz w:val="15"/>
                <w:szCs w:val="15"/>
                <w:b w:val="1"/>
                <w:bCs w:val="1"/>
                <w:color w:val="auto"/>
              </w:rPr>
              <w:t>Income from Continuing Operations Before Income Taxes</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157,985</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144,088</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247,528</w:t>
            </w: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578,319</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63,752</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61,635</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83,735</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73,351</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96,741</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94,980</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126,302</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124,834</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18,792</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19,893</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26,336</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30,341</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9,473</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9,381</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12,448</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12,720</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5</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244</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244</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1,159</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188,763</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186,133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249,065</w:t>
            </w: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242,405</w:t>
            </w:r>
          </w:p>
        </w:tc>
        <w:tc>
          <w:tcPr>
            <w:tcW w:w="0" w:type="dxa"/>
            <w:vAlign w:val="bottom"/>
          </w:tcPr>
          <w:p>
            <w:pPr>
              <w:spacing w:after="0"/>
              <w:rPr>
                <w:sz w:val="1"/>
                <w:szCs w:val="1"/>
                <w:color w:val="auto"/>
              </w:rPr>
            </w:pPr>
          </w:p>
        </w:tc>
      </w:tr>
      <w:tr>
        <w:trPr>
          <w:trHeight w:val="210"/>
        </w:trPr>
        <w:tc>
          <w:tcPr>
            <w:tcW w:w="5280" w:type="dxa"/>
            <w:vAlign w:val="bottom"/>
          </w:tcPr>
          <w:p>
            <w:pPr>
              <w:spacing w:after="0"/>
              <w:rPr>
                <w:sz w:val="20"/>
                <w:szCs w:val="20"/>
                <w:color w:val="auto"/>
              </w:rPr>
            </w:pPr>
            <w:r>
              <w:rPr>
                <w:rFonts w:ascii="Arial" w:cs="Arial" w:eastAsia="Arial" w:hAnsi="Arial"/>
                <w:sz w:val="15"/>
                <w:szCs w:val="15"/>
                <w:b w:val="1"/>
                <w:bCs w:val="1"/>
                <w:color w:val="auto"/>
              </w:rPr>
              <w:t>Amortization of Intangible Assets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11,528</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15,023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19,417</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19,202</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159</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201</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267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327</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505</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869</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1,051</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1,223</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1,200</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1,200</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1,600</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800</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1"/>
        </w:trPr>
        <w:tc>
          <w:tcPr>
            <w:tcW w:w="5280" w:type="dxa"/>
            <w:vAlign w:val="bottom"/>
          </w:tcPr>
          <w:p>
            <w:pPr>
              <w:spacing w:after="0"/>
              <w:rPr>
                <w:sz w:val="16"/>
                <w:szCs w:val="16"/>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13,392</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17,293</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22,335</w:t>
            </w: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21,552</w:t>
            </w:r>
          </w:p>
        </w:tc>
        <w:tc>
          <w:tcPr>
            <w:tcW w:w="0" w:type="dxa"/>
            <w:vAlign w:val="bottom"/>
          </w:tcPr>
          <w:p>
            <w:pPr>
              <w:spacing w:after="0"/>
              <w:rPr>
                <w:sz w:val="1"/>
                <w:szCs w:val="1"/>
                <w:color w:val="auto"/>
              </w:rPr>
            </w:pPr>
          </w:p>
        </w:tc>
      </w:tr>
      <w:tr>
        <w:trPr>
          <w:trHeight w:val="198"/>
        </w:trPr>
        <w:tc>
          <w:tcPr>
            <w:tcW w:w="5280" w:type="dxa"/>
            <w:vAlign w:val="bottom"/>
          </w:tcPr>
          <w:p>
            <w:pPr>
              <w:spacing w:after="0"/>
              <w:rPr>
                <w:sz w:val="20"/>
                <w:szCs w:val="20"/>
                <w:color w:val="auto"/>
              </w:rPr>
            </w:pPr>
            <w:r>
              <w:rPr>
                <w:rFonts w:ascii="Arial" w:cs="Arial" w:eastAsia="Arial" w:hAnsi="Arial"/>
                <w:sz w:val="15"/>
                <w:szCs w:val="15"/>
                <w:b w:val="1"/>
                <w:bCs w:val="1"/>
                <w:color w:val="auto"/>
              </w:rPr>
              <w:t>Net Pension Expense (Credit)</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Education</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7,883</w:t>
            </w:r>
          </w:p>
        </w:tc>
        <w:tc>
          <w:tcPr>
            <w:tcW w:w="38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4,859</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6,345</w:t>
            </w:r>
          </w:p>
        </w:tc>
        <w:tc>
          <w:tcPr>
            <w:tcW w:w="460" w:type="dxa"/>
            <w:vAlign w:val="bottom"/>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5,707</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260" w:type="dxa"/>
            <w:vAlign w:val="bottom"/>
          </w:tcPr>
          <w:p>
            <w:pPr>
              <w:spacing w:after="0"/>
              <w:rPr>
                <w:sz w:val="17"/>
                <w:szCs w:val="17"/>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1,738</w:t>
            </w:r>
          </w:p>
        </w:tc>
        <w:tc>
          <w:tcPr>
            <w:tcW w:w="38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1,470</w:t>
            </w:r>
          </w:p>
        </w:tc>
        <w:tc>
          <w:tcPr>
            <w:tcW w:w="320" w:type="dxa"/>
            <w:vAlign w:val="bottom"/>
          </w:tcPr>
          <w:p>
            <w:pPr>
              <w:spacing w:after="0"/>
              <w:rPr>
                <w:sz w:val="17"/>
                <w:szCs w:val="17"/>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1,924</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1,919</w:t>
            </w:r>
          </w:p>
        </w:tc>
        <w:tc>
          <w:tcPr>
            <w:tcW w:w="0" w:type="dxa"/>
            <w:vAlign w:val="bottom"/>
          </w:tcPr>
          <w:p>
            <w:pPr>
              <w:spacing w:after="0"/>
              <w:rPr>
                <w:sz w:val="1"/>
                <w:szCs w:val="1"/>
                <w:color w:val="auto"/>
              </w:rPr>
            </w:pPr>
          </w:p>
        </w:tc>
      </w:tr>
      <w:tr>
        <w:trPr>
          <w:trHeight w:val="233"/>
        </w:trPr>
        <w:tc>
          <w:tcPr>
            <w:tcW w:w="5280" w:type="dxa"/>
            <w:vAlign w:val="bottom"/>
          </w:tcPr>
          <w:p>
            <w:pPr>
              <w:ind w:left="240"/>
              <w:spacing w:after="0" w:line="233" w:lineRule="exact"/>
              <w:rPr>
                <w:sz w:val="20"/>
                <w:szCs w:val="20"/>
                <w:color w:val="auto"/>
              </w:rPr>
            </w:pPr>
            <w:r>
              <w:rPr>
                <w:rFonts w:ascii="Arial" w:cs="Arial" w:eastAsia="Arial" w:hAnsi="Arial"/>
                <w:sz w:val="15"/>
                <w:szCs w:val="15"/>
                <w:color w:val="auto"/>
              </w:rPr>
              <w:t>Newspaper publishing</w:t>
            </w:r>
            <w:r>
              <w:rPr>
                <w:rFonts w:ascii="Arial" w:cs="Arial" w:eastAsia="Arial" w:hAnsi="Arial"/>
                <w:sz w:val="24"/>
                <w:szCs w:val="24"/>
                <w:color w:val="auto"/>
                <w:vertAlign w:val="superscript"/>
              </w:rPr>
              <w:t>(1)</w:t>
            </w:r>
          </w:p>
        </w:tc>
        <w:tc>
          <w:tcPr>
            <w:tcW w:w="260" w:type="dxa"/>
            <w:vAlign w:val="bottom"/>
          </w:tcPr>
          <w:p>
            <w:pPr>
              <w:spacing w:after="0"/>
              <w:rPr>
                <w:sz w:val="20"/>
                <w:szCs w:val="20"/>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32,554</w:t>
            </w:r>
          </w:p>
        </w:tc>
        <w:tc>
          <w:tcPr>
            <w:tcW w:w="380" w:type="dxa"/>
            <w:vAlign w:val="bottom"/>
          </w:tcPr>
          <w:p>
            <w:pPr>
              <w:spacing w:after="0"/>
              <w:rPr>
                <w:sz w:val="20"/>
                <w:szCs w:val="20"/>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17,226</w:t>
            </w:r>
          </w:p>
        </w:tc>
        <w:tc>
          <w:tcPr>
            <w:tcW w:w="320" w:type="dxa"/>
            <w:vAlign w:val="bottom"/>
          </w:tcPr>
          <w:p>
            <w:pPr>
              <w:spacing w:after="0"/>
              <w:rPr>
                <w:sz w:val="20"/>
                <w:szCs w:val="20"/>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25,283</w:t>
            </w:r>
          </w:p>
        </w:tc>
        <w:tc>
          <w:tcPr>
            <w:tcW w:w="4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42,287</w:t>
            </w:r>
          </w:p>
        </w:tc>
        <w:tc>
          <w:tcPr>
            <w:tcW w:w="0" w:type="dxa"/>
            <w:vAlign w:val="bottom"/>
          </w:tcPr>
          <w:p>
            <w:pPr>
              <w:spacing w:after="0"/>
              <w:rPr>
                <w:sz w:val="1"/>
                <w:szCs w:val="1"/>
                <w:color w:val="auto"/>
              </w:rPr>
            </w:pPr>
          </w:p>
        </w:tc>
      </w:tr>
      <w:tr>
        <w:trPr>
          <w:trHeight w:val="197"/>
        </w:trPr>
        <w:tc>
          <w:tcPr>
            <w:tcW w:w="528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260" w:type="dxa"/>
            <w:vAlign w:val="bottom"/>
          </w:tcPr>
          <w:p>
            <w:pPr>
              <w:spacing w:after="0"/>
              <w:rPr>
                <w:sz w:val="17"/>
                <w:szCs w:val="17"/>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3,447</w:t>
            </w:r>
          </w:p>
        </w:tc>
        <w:tc>
          <w:tcPr>
            <w:tcW w:w="380" w:type="dxa"/>
            <w:vAlign w:val="bottom"/>
          </w:tcPr>
          <w:p>
            <w:pPr>
              <w:spacing w:after="0"/>
              <w:rPr>
                <w:sz w:val="17"/>
                <w:szCs w:val="17"/>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1,306</w:t>
            </w:r>
          </w:p>
        </w:tc>
        <w:tc>
          <w:tcPr>
            <w:tcW w:w="320" w:type="dxa"/>
            <w:vAlign w:val="bottom"/>
          </w:tcPr>
          <w:p>
            <w:pPr>
              <w:spacing w:after="0"/>
              <w:rPr>
                <w:sz w:val="17"/>
                <w:szCs w:val="17"/>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1,669</w:t>
            </w:r>
          </w:p>
        </w:tc>
        <w:tc>
          <w:tcPr>
            <w:tcW w:w="4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1,113</w:t>
            </w:r>
          </w:p>
        </w:tc>
        <w:tc>
          <w:tcPr>
            <w:tcW w:w="0" w:type="dxa"/>
            <w:vAlign w:val="bottom"/>
          </w:tcPr>
          <w:p>
            <w:pPr>
              <w:spacing w:after="0"/>
              <w:rPr>
                <w:sz w:val="1"/>
                <w:szCs w:val="1"/>
                <w:color w:val="auto"/>
              </w:rPr>
            </w:pPr>
          </w:p>
        </w:tc>
      </w:tr>
      <w:tr>
        <w:trPr>
          <w:trHeight w:val="211"/>
        </w:trPr>
        <w:tc>
          <w:tcPr>
            <w:tcW w:w="528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260" w:type="dxa"/>
            <w:vAlign w:val="bottom"/>
          </w:tcPr>
          <w:p>
            <w:pPr>
              <w:spacing w:after="0"/>
              <w:rPr>
                <w:sz w:val="18"/>
                <w:szCs w:val="18"/>
                <w:color w:val="auto"/>
              </w:rPr>
            </w:pPr>
          </w:p>
        </w:tc>
        <w:tc>
          <w:tcPr>
            <w:tcW w:w="1280" w:type="dxa"/>
            <w:vAlign w:val="bottom"/>
          </w:tcPr>
          <w:p>
            <w:pPr>
              <w:jc w:val="right"/>
              <w:ind w:right="126"/>
              <w:spacing w:after="0"/>
              <w:rPr>
                <w:sz w:val="20"/>
                <w:szCs w:val="20"/>
                <w:color w:val="auto"/>
              </w:rPr>
            </w:pPr>
            <w:r>
              <w:rPr>
                <w:rFonts w:ascii="Arial" w:cs="Arial" w:eastAsia="Arial" w:hAnsi="Arial"/>
                <w:sz w:val="15"/>
                <w:szCs w:val="15"/>
                <w:b w:val="1"/>
                <w:bCs w:val="1"/>
                <w:color w:val="auto"/>
              </w:rPr>
              <w:t>38</w:t>
            </w:r>
          </w:p>
        </w:tc>
        <w:tc>
          <w:tcPr>
            <w:tcW w:w="380" w:type="dxa"/>
            <w:vAlign w:val="bottom"/>
          </w:tcPr>
          <w:p>
            <w:pPr>
              <w:spacing w:after="0"/>
              <w:rPr>
                <w:sz w:val="18"/>
                <w:szCs w:val="18"/>
                <w:color w:val="auto"/>
              </w:rPr>
            </w:pP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13</w:t>
            </w:r>
          </w:p>
        </w:tc>
        <w:tc>
          <w:tcPr>
            <w:tcW w:w="320" w:type="dxa"/>
            <w:vAlign w:val="bottom"/>
          </w:tcPr>
          <w:p>
            <w:pPr>
              <w:spacing w:after="0"/>
              <w:rPr>
                <w:sz w:val="18"/>
                <w:szCs w:val="18"/>
                <w:color w:val="auto"/>
              </w:rPr>
            </w:pPr>
          </w:p>
        </w:tc>
        <w:tc>
          <w:tcPr>
            <w:tcW w:w="1260" w:type="dxa"/>
            <w:vAlign w:val="bottom"/>
          </w:tcPr>
          <w:p>
            <w:pPr>
              <w:jc w:val="right"/>
              <w:ind w:right="126"/>
              <w:spacing w:after="0"/>
              <w:rPr>
                <w:sz w:val="20"/>
                <w:szCs w:val="20"/>
                <w:color w:val="auto"/>
              </w:rPr>
            </w:pPr>
            <w:r>
              <w:rPr>
                <w:rFonts w:ascii="Arial" w:cs="Arial" w:eastAsia="Arial" w:hAnsi="Arial"/>
                <w:sz w:val="15"/>
                <w:szCs w:val="15"/>
                <w:color w:val="auto"/>
              </w:rPr>
              <w:t>17</w:t>
            </w:r>
          </w:p>
        </w:tc>
        <w:tc>
          <w:tcPr>
            <w:tcW w:w="4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4"/>
        </w:trPr>
        <w:tc>
          <w:tcPr>
            <w:tcW w:w="528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(27,215)</w:t>
            </w: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(27,729)</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(36,983)</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(34,599)</w:t>
            </w:r>
          </w:p>
        </w:tc>
        <w:tc>
          <w:tcPr>
            <w:tcW w:w="0" w:type="dxa"/>
            <w:vAlign w:val="bottom"/>
          </w:tcPr>
          <w:p>
            <w:pPr>
              <w:spacing w:after="0"/>
              <w:rPr>
                <w:sz w:val="1"/>
                <w:szCs w:val="1"/>
                <w:color w:val="auto"/>
              </w:rPr>
            </w:pPr>
          </w:p>
        </w:tc>
      </w:tr>
      <w:tr>
        <w:trPr>
          <w:trHeight w:val="203"/>
        </w:trPr>
        <w:tc>
          <w:tcPr>
            <w:tcW w:w="5280" w:type="dxa"/>
            <w:vAlign w:val="bottom"/>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rPr>
              <w:t>18,445</w:t>
            </w:r>
          </w:p>
        </w:tc>
        <w:tc>
          <w:tcPr>
            <w:tcW w:w="38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(2,855)</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rPr>
              <w:t>(1,745)</w:t>
            </w:r>
          </w:p>
        </w:tc>
        <w:tc>
          <w:tcPr>
            <w:tcW w:w="4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16,427</w:t>
            </w:r>
          </w:p>
        </w:tc>
        <w:tc>
          <w:tcPr>
            <w:tcW w:w="0" w:type="dxa"/>
            <w:vAlign w:val="bottom"/>
          </w:tcPr>
          <w:p>
            <w:pPr>
              <w:spacing w:after="0"/>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13"/>
          <w:szCs w:val="13"/>
          <w:color w:val="auto"/>
        </w:rPr>
        <w:t>(1) Includes a $2.4 and $20.4 million charge in 2011 and 2010, respectively, related to the withdrawal from a multiemployer pension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71"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Asset information for the Company’s business segments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0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89"/>
              <w:spacing w:after="0"/>
              <w:rPr>
                <w:sz w:val="20"/>
                <w:szCs w:val="20"/>
                <w:color w:val="auto"/>
              </w:rPr>
            </w:pPr>
            <w:r>
              <w:rPr>
                <w:rFonts w:ascii="Arial" w:cs="Arial" w:eastAsia="Arial" w:hAnsi="Arial"/>
                <w:sz w:val="12"/>
                <w:szCs w:val="12"/>
                <w:b w:val="1"/>
                <w:bCs w:val="1"/>
                <w:color w:val="auto"/>
              </w:rPr>
              <w:t>As of</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8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20" w:type="dxa"/>
            <w:vAlign w:val="bottom"/>
          </w:tcPr>
          <w:p>
            <w:pPr>
              <w:jc w:val="right"/>
              <w:ind w:right="327"/>
              <w:spacing w:after="0" w:line="114" w:lineRule="exact"/>
              <w:rPr>
                <w:sz w:val="20"/>
                <w:szCs w:val="20"/>
                <w:color w:val="auto"/>
              </w:rPr>
            </w:pPr>
            <w:r>
              <w:rPr>
                <w:rFonts w:ascii="Arial" w:cs="Arial" w:eastAsia="Arial" w:hAnsi="Arial"/>
                <w:sz w:val="12"/>
                <w:szCs w:val="12"/>
                <w:b w:val="1"/>
                <w:bCs w:val="1"/>
                <w:color w:val="auto"/>
              </w:rPr>
              <w:t>September 30,</w:t>
            </w:r>
          </w:p>
        </w:tc>
        <w:tc>
          <w:tcPr>
            <w:tcW w:w="520" w:type="dxa"/>
            <w:vAlign w:val="bottom"/>
          </w:tcPr>
          <w:p>
            <w:pPr>
              <w:spacing w:after="0"/>
              <w:rPr>
                <w:sz w:val="9"/>
                <w:szCs w:val="9"/>
                <w:color w:val="auto"/>
              </w:rPr>
            </w:pPr>
          </w:p>
        </w:tc>
        <w:tc>
          <w:tcPr>
            <w:tcW w:w="1260" w:type="dxa"/>
            <w:vAlign w:val="bottom"/>
          </w:tcPr>
          <w:p>
            <w:pPr>
              <w:jc w:val="right"/>
              <w:ind w:right="327"/>
              <w:spacing w:after="0" w:line="114" w:lineRule="exact"/>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51"/>
        </w:trPr>
        <w:tc>
          <w:tcPr>
            <w:tcW w:w="80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27"/>
              <w:spacing w:after="0"/>
              <w:rPr>
                <w:sz w:val="20"/>
                <w:szCs w:val="20"/>
                <w:color w:val="auto"/>
              </w:rPr>
            </w:pPr>
            <w:r>
              <w:rPr>
                <w:rFonts w:ascii="Arial" w:cs="Arial" w:eastAsia="Arial" w:hAnsi="Arial"/>
                <w:sz w:val="12"/>
                <w:szCs w:val="12"/>
                <w:b w:val="1"/>
                <w:bCs w:val="1"/>
                <w:color w:val="auto"/>
              </w:rPr>
              <w:t>2012</w:t>
            </w:r>
          </w:p>
        </w:tc>
        <w:tc>
          <w:tcPr>
            <w:tcW w:w="5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802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3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32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1,915,268</w:t>
            </w:r>
          </w:p>
        </w:tc>
        <w:tc>
          <w:tcPr>
            <w:tcW w:w="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20" w:type="dxa"/>
            <w:vAlign w:val="bottom"/>
          </w:tcPr>
          <w:p>
            <w:pPr>
              <w:ind w:left="240"/>
              <w:spacing w:after="0" w:line="156" w:lineRule="exact"/>
              <w:rPr>
                <w:sz w:val="20"/>
                <w:szCs w:val="20"/>
                <w:color w:val="auto"/>
              </w:rPr>
            </w:pPr>
            <w:r>
              <w:rPr>
                <w:rFonts w:ascii="Arial" w:cs="Arial" w:eastAsia="Arial" w:hAnsi="Arial"/>
                <w:sz w:val="15"/>
                <w:szCs w:val="15"/>
                <w:color w:val="auto"/>
              </w:rPr>
              <w:t>Education</w:t>
            </w:r>
          </w:p>
        </w:tc>
        <w:tc>
          <w:tcPr>
            <w:tcW w:w="300" w:type="dxa"/>
            <w:vAlign w:val="bottom"/>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520" w:type="dxa"/>
            <w:vAlign w:val="bottom"/>
          </w:tcPr>
          <w:p>
            <w:pPr>
              <w:jc w:val="right"/>
              <w:ind w:right="29"/>
              <w:spacing w:after="0" w:line="156" w:lineRule="exact"/>
              <w:rPr>
                <w:sz w:val="20"/>
                <w:szCs w:val="20"/>
                <w:color w:val="auto"/>
              </w:rPr>
            </w:pPr>
            <w:r>
              <w:rPr>
                <w:rFonts w:ascii="Arial" w:cs="Arial" w:eastAsia="Arial" w:hAnsi="Arial"/>
                <w:sz w:val="15"/>
                <w:szCs w:val="15"/>
                <w:color w:val="auto"/>
              </w:rPr>
              <w:t>$</w:t>
            </w:r>
          </w:p>
        </w:tc>
        <w:tc>
          <w:tcPr>
            <w:tcW w:w="1260" w:type="dxa"/>
            <w:vAlign w:val="bottom"/>
          </w:tcPr>
          <w:p>
            <w:pPr>
              <w:jc w:val="right"/>
              <w:spacing w:after="0" w:line="156" w:lineRule="exact"/>
              <w:rPr>
                <w:sz w:val="20"/>
                <w:szCs w:val="20"/>
                <w:color w:val="auto"/>
              </w:rPr>
            </w:pPr>
            <w:r>
              <w:rPr>
                <w:rFonts w:ascii="Arial" w:cs="Arial" w:eastAsia="Arial" w:hAnsi="Arial"/>
                <w:sz w:val="15"/>
                <w:szCs w:val="15"/>
                <w:color w:val="auto"/>
              </w:rPr>
              <w:t>2,217,719</w:t>
            </w: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Cable television</w:t>
            </w: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1,175,151</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1,164,756</w:t>
            </w: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Newspaper publishing</w:t>
            </w: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272,203</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314,405</w:t>
            </w: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Television broadcasting</w:t>
            </w: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381,795</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376,259</w:t>
            </w:r>
          </w:p>
        </w:tc>
        <w:tc>
          <w:tcPr>
            <w:tcW w:w="0" w:type="dxa"/>
            <w:vAlign w:val="bottom"/>
          </w:tcPr>
          <w:p>
            <w:pPr>
              <w:spacing w:after="0"/>
              <w:rPr>
                <w:sz w:val="1"/>
                <w:szCs w:val="1"/>
                <w:color w:val="auto"/>
              </w:rPr>
            </w:pPr>
          </w:p>
        </w:tc>
      </w:tr>
      <w:tr>
        <w:trPr>
          <w:trHeight w:val="174"/>
        </w:trPr>
        <w:tc>
          <w:tcPr>
            <w:tcW w:w="8020" w:type="dxa"/>
            <w:vAlign w:val="bottom"/>
          </w:tcPr>
          <w:p>
            <w:pPr>
              <w:ind w:left="240"/>
              <w:spacing w:after="0"/>
              <w:rPr>
                <w:sz w:val="20"/>
                <w:szCs w:val="20"/>
                <w:color w:val="auto"/>
              </w:rPr>
            </w:pPr>
            <w:r>
              <w:rPr>
                <w:rFonts w:ascii="Arial" w:cs="Arial" w:eastAsia="Arial" w:hAnsi="Arial"/>
                <w:sz w:val="15"/>
                <w:szCs w:val="15"/>
                <w:color w:val="auto"/>
              </w:rPr>
              <w:t>Other businesses</w:t>
            </w: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25,844</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15,381</w:t>
            </w:r>
          </w:p>
        </w:tc>
        <w:tc>
          <w:tcPr>
            <w:tcW w:w="0" w:type="dxa"/>
            <w:vAlign w:val="bottom"/>
          </w:tcPr>
          <w:p>
            <w:pPr>
              <w:spacing w:after="0"/>
              <w:rPr>
                <w:sz w:val="1"/>
                <w:szCs w:val="1"/>
                <w:color w:val="auto"/>
              </w:rPr>
            </w:pPr>
          </w:p>
        </w:tc>
      </w:tr>
      <w:tr>
        <w:trPr>
          <w:trHeight w:val="190"/>
        </w:trPr>
        <w:tc>
          <w:tcPr>
            <w:tcW w:w="8020" w:type="dxa"/>
            <w:vAlign w:val="bottom"/>
          </w:tcPr>
          <w:p>
            <w:pPr>
              <w:ind w:left="240"/>
              <w:spacing w:after="0"/>
              <w:rPr>
                <w:sz w:val="20"/>
                <w:szCs w:val="20"/>
                <w:color w:val="auto"/>
              </w:rPr>
            </w:pPr>
            <w:r>
              <w:rPr>
                <w:rFonts w:ascii="Arial" w:cs="Arial" w:eastAsia="Arial" w:hAnsi="Arial"/>
                <w:sz w:val="15"/>
                <w:szCs w:val="15"/>
                <w:color w:val="auto"/>
              </w:rPr>
              <w:t>Corporate office</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262,604</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70,902</w:t>
            </w:r>
          </w:p>
        </w:tc>
        <w:tc>
          <w:tcPr>
            <w:tcW w:w="0" w:type="dxa"/>
            <w:vAlign w:val="bottom"/>
          </w:tcPr>
          <w:p>
            <w:pPr>
              <w:spacing w:after="0"/>
              <w:rPr>
                <w:sz w:val="1"/>
                <w:szCs w:val="1"/>
                <w:color w:val="auto"/>
              </w:rPr>
            </w:pPr>
          </w:p>
        </w:tc>
      </w:tr>
      <w:tr>
        <w:trPr>
          <w:trHeight w:val="166"/>
        </w:trPr>
        <w:tc>
          <w:tcPr>
            <w:tcW w:w="8020" w:type="dxa"/>
            <w:vAlign w:val="bottom"/>
            <w:vMerge w:val="restart"/>
          </w:tcPr>
          <w:p>
            <w:pPr>
              <w:spacing w:after="0"/>
              <w:rPr>
                <w:sz w:val="20"/>
                <w:szCs w:val="20"/>
                <w:color w:val="auto"/>
              </w:rPr>
            </w:pPr>
            <w:r>
              <w:rPr>
                <w:rFonts w:ascii="Arial" w:cs="Arial" w:eastAsia="Arial" w:hAnsi="Arial"/>
                <w:sz w:val="15"/>
                <w:szCs w:val="15"/>
                <w:b w:val="1"/>
                <w:bCs w:val="1"/>
                <w:color w:val="auto"/>
              </w:rPr>
              <w:t>Investments in Marketable Equity Securities</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4,032,865</w:t>
            </w:r>
          </w:p>
        </w:tc>
        <w:tc>
          <w:tcPr>
            <w:tcW w:w="520" w:type="dxa"/>
            <w:vAlign w:val="bottom"/>
            <w:tcBorders>
              <w:bottom w:val="single" w:sz="8" w:color="auto"/>
            </w:tcBorders>
          </w:tcPr>
          <w:p>
            <w:pPr>
              <w:jc w:val="right"/>
              <w:ind w:right="29"/>
              <w:spacing w:after="0" w:line="167"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4,159,422</w:t>
            </w:r>
          </w:p>
        </w:tc>
        <w:tc>
          <w:tcPr>
            <w:tcW w:w="0" w:type="dxa"/>
            <w:vAlign w:val="bottom"/>
          </w:tcPr>
          <w:p>
            <w:pPr>
              <w:spacing w:after="0"/>
              <w:rPr>
                <w:sz w:val="1"/>
                <w:szCs w:val="1"/>
                <w:color w:val="auto"/>
              </w:rPr>
            </w:pPr>
          </w:p>
        </w:tc>
      </w:tr>
      <w:tr>
        <w:trPr>
          <w:trHeight w:val="150"/>
        </w:trPr>
        <w:tc>
          <w:tcPr>
            <w:tcW w:w="802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379,928</w:t>
            </w:r>
          </w:p>
        </w:tc>
        <w:tc>
          <w:tcPr>
            <w:tcW w:w="520" w:type="dxa"/>
            <w:vAlign w:val="bottom"/>
          </w:tcPr>
          <w:p>
            <w:pPr>
              <w:spacing w:after="0"/>
              <w:rPr>
                <w:sz w:val="13"/>
                <w:szCs w:val="13"/>
                <w:color w:val="auto"/>
              </w:rPr>
            </w:pPr>
          </w:p>
        </w:tc>
        <w:tc>
          <w:tcPr>
            <w:tcW w:w="1260" w:type="dxa"/>
            <w:vAlign w:val="bottom"/>
          </w:tcPr>
          <w:p>
            <w:pPr>
              <w:jc w:val="right"/>
              <w:spacing w:after="0" w:line="150" w:lineRule="exact"/>
              <w:rPr>
                <w:sz w:val="20"/>
                <w:szCs w:val="20"/>
                <w:color w:val="auto"/>
              </w:rPr>
            </w:pPr>
            <w:r>
              <w:rPr>
                <w:rFonts w:ascii="Arial" w:cs="Arial" w:eastAsia="Arial" w:hAnsi="Arial"/>
                <w:sz w:val="15"/>
                <w:szCs w:val="15"/>
                <w:color w:val="auto"/>
              </w:rPr>
              <w:t>303,201</w:t>
            </w:r>
          </w:p>
        </w:tc>
        <w:tc>
          <w:tcPr>
            <w:tcW w:w="0" w:type="dxa"/>
            <w:vAlign w:val="bottom"/>
          </w:tcPr>
          <w:p>
            <w:pPr>
              <w:spacing w:after="0"/>
              <w:rPr>
                <w:sz w:val="1"/>
                <w:szCs w:val="1"/>
                <w:color w:val="auto"/>
              </w:rPr>
            </w:pPr>
          </w:p>
        </w:tc>
      </w:tr>
      <w:tr>
        <w:trPr>
          <w:trHeight w:val="174"/>
        </w:trPr>
        <w:tc>
          <w:tcPr>
            <w:tcW w:w="8020" w:type="dxa"/>
            <w:vAlign w:val="bottom"/>
          </w:tcPr>
          <w:p>
            <w:pPr>
              <w:spacing w:after="0"/>
              <w:rPr>
                <w:sz w:val="20"/>
                <w:szCs w:val="20"/>
                <w:color w:val="auto"/>
              </w:rPr>
            </w:pPr>
            <w:r>
              <w:rPr>
                <w:rFonts w:ascii="Arial" w:cs="Arial" w:eastAsia="Arial" w:hAnsi="Arial"/>
                <w:sz w:val="15"/>
                <w:szCs w:val="15"/>
                <w:b w:val="1"/>
                <w:bCs w:val="1"/>
                <w:color w:val="auto"/>
              </w:rPr>
              <w:t>Investments in Affiliates</w:t>
            </w:r>
          </w:p>
        </w:tc>
        <w:tc>
          <w:tcPr>
            <w:tcW w:w="3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5"/>
                <w:szCs w:val="15"/>
                <w:b w:val="1"/>
                <w:bCs w:val="1"/>
                <w:color w:val="auto"/>
              </w:rPr>
              <w:t>25,219</w:t>
            </w:r>
          </w:p>
        </w:tc>
        <w:tc>
          <w:tcPr>
            <w:tcW w:w="52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17,101</w:t>
            </w:r>
          </w:p>
        </w:tc>
        <w:tc>
          <w:tcPr>
            <w:tcW w:w="0" w:type="dxa"/>
            <w:vAlign w:val="bottom"/>
          </w:tcPr>
          <w:p>
            <w:pPr>
              <w:spacing w:after="0"/>
              <w:rPr>
                <w:sz w:val="1"/>
                <w:szCs w:val="1"/>
                <w:color w:val="auto"/>
              </w:rPr>
            </w:pPr>
          </w:p>
        </w:tc>
      </w:tr>
      <w:tr>
        <w:trPr>
          <w:trHeight w:val="190"/>
        </w:trPr>
        <w:tc>
          <w:tcPr>
            <w:tcW w:w="8020" w:type="dxa"/>
            <w:vAlign w:val="bottom"/>
          </w:tcPr>
          <w:p>
            <w:pPr>
              <w:spacing w:after="0"/>
              <w:rPr>
                <w:sz w:val="20"/>
                <w:szCs w:val="20"/>
                <w:color w:val="auto"/>
              </w:rPr>
            </w:pPr>
            <w:r>
              <w:rPr>
                <w:rFonts w:ascii="Arial" w:cs="Arial" w:eastAsia="Arial" w:hAnsi="Arial"/>
                <w:sz w:val="15"/>
                <w:szCs w:val="15"/>
                <w:b w:val="1"/>
                <w:bCs w:val="1"/>
                <w:color w:val="auto"/>
              </w:rPr>
              <w:t>Prepaid Pension Cost</w:t>
            </w: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528,438</w:t>
            </w:r>
          </w:p>
        </w:tc>
        <w:tc>
          <w:tcPr>
            <w:tcW w:w="5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537,262</w:t>
            </w:r>
          </w:p>
        </w:tc>
        <w:tc>
          <w:tcPr>
            <w:tcW w:w="0" w:type="dxa"/>
            <w:vAlign w:val="bottom"/>
          </w:tcPr>
          <w:p>
            <w:pPr>
              <w:spacing w:after="0"/>
              <w:rPr>
                <w:sz w:val="1"/>
                <w:szCs w:val="1"/>
                <w:color w:val="auto"/>
              </w:rPr>
            </w:pPr>
          </w:p>
        </w:tc>
      </w:tr>
      <w:tr>
        <w:trPr>
          <w:trHeight w:val="166"/>
        </w:trPr>
        <w:tc>
          <w:tcPr>
            <w:tcW w:w="8020" w:type="dxa"/>
            <w:vAlign w:val="bottom"/>
          </w:tcPr>
          <w:p>
            <w:pPr>
              <w:spacing w:after="0" w:line="167" w:lineRule="exact"/>
              <w:rPr>
                <w:sz w:val="20"/>
                <w:szCs w:val="20"/>
                <w:color w:val="auto"/>
              </w:rPr>
            </w:pPr>
            <w:r>
              <w:rPr>
                <w:rFonts w:ascii="Arial" w:cs="Arial" w:eastAsia="Arial" w:hAnsi="Arial"/>
                <w:sz w:val="15"/>
                <w:szCs w:val="15"/>
                <w:b w:val="1"/>
                <w:bCs w:val="1"/>
                <w:color w:val="auto"/>
              </w:rPr>
              <w:t>Total Assets</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32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4,966,450</w:t>
            </w:r>
          </w:p>
        </w:tc>
        <w:tc>
          <w:tcPr>
            <w:tcW w:w="520" w:type="dxa"/>
            <w:vAlign w:val="bottom"/>
            <w:tcBorders>
              <w:bottom w:val="single" w:sz="8" w:color="auto"/>
            </w:tcBorders>
          </w:tcPr>
          <w:p>
            <w:pPr>
              <w:jc w:val="right"/>
              <w:ind w:right="29"/>
              <w:spacing w:after="0" w:line="167" w:lineRule="exact"/>
              <w:rPr>
                <w:sz w:val="20"/>
                <w:szCs w:val="20"/>
                <w:color w:val="auto"/>
              </w:rPr>
            </w:pPr>
            <w:r>
              <w:rPr>
                <w:rFonts w:ascii="Arial" w:cs="Arial" w:eastAsia="Arial" w:hAnsi="Arial"/>
                <w:sz w:val="15"/>
                <w:szCs w:val="15"/>
                <w:color w:val="auto"/>
              </w:rPr>
              <w:t>$</w:t>
            </w:r>
          </w:p>
        </w:tc>
        <w:tc>
          <w:tcPr>
            <w:tcW w:w="12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5,016,986</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2012 quarterly financial information related to the operating segments of the Company’s education division: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jc w:val="right"/>
              <w:ind w:right="539"/>
              <w:spacing w:after="0"/>
              <w:rPr>
                <w:sz w:val="20"/>
                <w:szCs w:val="20"/>
                <w:color w:val="auto"/>
              </w:rPr>
            </w:pPr>
            <w:r>
              <w:rPr>
                <w:rFonts w:ascii="Arial" w:cs="Arial" w:eastAsia="Arial" w:hAnsi="Arial"/>
                <w:sz w:val="12"/>
                <w:szCs w:val="12"/>
                <w:color w:val="auto"/>
              </w:rPr>
              <w:t>March 31,</w:t>
            </w:r>
          </w:p>
        </w:tc>
        <w:tc>
          <w:tcPr>
            <w:tcW w:w="440" w:type="dxa"/>
            <w:vAlign w:val="bottom"/>
          </w:tcPr>
          <w:p>
            <w:pPr>
              <w:spacing w:after="0"/>
              <w:rPr>
                <w:sz w:val="14"/>
                <w:szCs w:val="14"/>
                <w:color w:val="auto"/>
              </w:rPr>
            </w:pPr>
          </w:p>
        </w:tc>
        <w:tc>
          <w:tcPr>
            <w:tcW w:w="1260" w:type="dxa"/>
            <w:vAlign w:val="bottom"/>
          </w:tcPr>
          <w:p>
            <w:pPr>
              <w:jc w:val="right"/>
              <w:ind w:right="579"/>
              <w:spacing w:after="0"/>
              <w:rPr>
                <w:sz w:val="20"/>
                <w:szCs w:val="20"/>
                <w:color w:val="auto"/>
              </w:rPr>
            </w:pPr>
            <w:r>
              <w:rPr>
                <w:rFonts w:ascii="Arial" w:cs="Arial" w:eastAsia="Arial" w:hAnsi="Arial"/>
                <w:sz w:val="12"/>
                <w:szCs w:val="12"/>
                <w:color w:val="auto"/>
              </w:rPr>
              <w:t>June 30,</w:t>
            </w:r>
          </w:p>
        </w:tc>
        <w:tc>
          <w:tcPr>
            <w:tcW w:w="340" w:type="dxa"/>
            <w:vAlign w:val="bottom"/>
          </w:tcPr>
          <w:p>
            <w:pPr>
              <w:spacing w:after="0"/>
              <w:rPr>
                <w:sz w:val="14"/>
                <w:szCs w:val="14"/>
                <w:color w:val="auto"/>
              </w:rPr>
            </w:pPr>
          </w:p>
        </w:tc>
        <w:tc>
          <w:tcPr>
            <w:tcW w:w="1200" w:type="dxa"/>
            <w:vAlign w:val="bottom"/>
          </w:tcPr>
          <w:p>
            <w:pPr>
              <w:jc w:val="right"/>
              <w:ind w:right="219"/>
              <w:spacing w:after="0"/>
              <w:rPr>
                <w:sz w:val="20"/>
                <w:szCs w:val="20"/>
                <w:color w:val="auto"/>
              </w:rPr>
            </w:pPr>
            <w:r>
              <w:rPr>
                <w:rFonts w:ascii="Arial" w:cs="Arial" w:eastAsia="Arial" w:hAnsi="Arial"/>
                <w:sz w:val="12"/>
                <w:szCs w:val="12"/>
                <w:b w:val="1"/>
                <w:bCs w:val="1"/>
                <w:color w:val="auto"/>
              </w:rPr>
              <w:t>September 30,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19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99"/>
              <w:spacing w:after="0"/>
              <w:rPr>
                <w:sz w:val="20"/>
                <w:szCs w:val="20"/>
                <w:color w:val="auto"/>
              </w:rPr>
            </w:pPr>
            <w:r>
              <w:rPr>
                <w:rFonts w:ascii="Arial" w:cs="Arial" w:eastAsia="Arial" w:hAnsi="Arial"/>
                <w:sz w:val="12"/>
                <w:szCs w:val="12"/>
                <w:color w:val="auto"/>
              </w:rPr>
              <w:t>2012</w:t>
            </w: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79"/>
              <w:spacing w:after="0"/>
              <w:rPr>
                <w:sz w:val="20"/>
                <w:szCs w:val="20"/>
                <w:color w:val="auto"/>
              </w:rPr>
            </w:pPr>
            <w:r>
              <w:rPr>
                <w:rFonts w:ascii="Arial" w:cs="Arial" w:eastAsia="Arial" w:hAnsi="Arial"/>
                <w:sz w:val="12"/>
                <w:szCs w:val="12"/>
                <w:color w:val="auto"/>
              </w:rPr>
              <w:t>2012</w:t>
            </w: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19"/>
              <w:spacing w:after="0"/>
              <w:rPr>
                <w:sz w:val="20"/>
                <w:szCs w:val="20"/>
                <w:color w:val="auto"/>
              </w:rPr>
            </w:pPr>
            <w:r>
              <w:rPr>
                <w:rFonts w:ascii="Arial" w:cs="Arial" w:eastAsia="Arial" w:hAnsi="Arial"/>
                <w:sz w:val="12"/>
                <w:szCs w:val="12"/>
                <w:b w:val="1"/>
                <w:bCs w:val="1"/>
                <w:color w:val="auto"/>
              </w:rPr>
              <w:t>2012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640" w:type="dxa"/>
            <w:vAlign w:val="bottom"/>
          </w:tcPr>
          <w:p>
            <w:pPr>
              <w:spacing w:after="0" w:line="190" w:lineRule="exact"/>
              <w:rPr>
                <w:sz w:val="20"/>
                <w:szCs w:val="20"/>
                <w:color w:val="auto"/>
              </w:rPr>
            </w:pPr>
            <w:r>
              <w:rPr>
                <w:rFonts w:ascii="Arial" w:cs="Arial" w:eastAsia="Arial" w:hAnsi="Arial"/>
                <w:sz w:val="17"/>
                <w:szCs w:val="17"/>
                <w:b w:val="1"/>
                <w:bCs w:val="1"/>
                <w:color w:val="auto"/>
              </w:rPr>
              <w:t>Operating Revenues</w:t>
            </w: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273,703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40" w:type="dxa"/>
            <w:vAlign w:val="bottom"/>
          </w:tcPr>
          <w:p>
            <w:pPr>
              <w:ind w:left="240"/>
              <w:spacing w:after="0" w:line="179" w:lineRule="exact"/>
              <w:rPr>
                <w:sz w:val="20"/>
                <w:szCs w:val="20"/>
                <w:color w:val="auto"/>
              </w:rPr>
            </w:pPr>
            <w:r>
              <w:rPr>
                <w:rFonts w:ascii="Arial" w:cs="Arial" w:eastAsia="Arial" w:hAnsi="Arial"/>
                <w:sz w:val="17"/>
                <w:szCs w:val="17"/>
                <w:color w:val="auto"/>
              </w:rPr>
              <w:t>Higher education</w:t>
            </w:r>
          </w:p>
        </w:tc>
        <w:tc>
          <w:tcPr>
            <w:tcW w:w="2260" w:type="dxa"/>
            <w:vAlign w:val="bottom"/>
            <w:gridSpan w:val="2"/>
          </w:tcPr>
          <w:p>
            <w:pPr>
              <w:jc w:val="right"/>
              <w:ind w:right="37"/>
              <w:spacing w:after="0" w:line="179"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19"/>
              <w:spacing w:after="0" w:line="179" w:lineRule="exact"/>
              <w:rPr>
                <w:sz w:val="20"/>
                <w:szCs w:val="20"/>
                <w:color w:val="auto"/>
              </w:rPr>
            </w:pPr>
            <w:r>
              <w:rPr>
                <w:rFonts w:ascii="Arial" w:cs="Arial" w:eastAsia="Arial" w:hAnsi="Arial"/>
                <w:sz w:val="17"/>
                <w:szCs w:val="17"/>
                <w:color w:val="auto"/>
              </w:rPr>
              <w:t>308,384</w:t>
            </w:r>
          </w:p>
        </w:tc>
        <w:tc>
          <w:tcPr>
            <w:tcW w:w="440" w:type="dxa"/>
            <w:vAlign w:val="bottom"/>
          </w:tcPr>
          <w:p>
            <w:pPr>
              <w:jc w:val="right"/>
              <w:ind w:right="57"/>
              <w:spacing w:after="0" w:line="179"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119"/>
              <w:spacing w:after="0" w:line="179" w:lineRule="exact"/>
              <w:rPr>
                <w:sz w:val="20"/>
                <w:szCs w:val="20"/>
                <w:color w:val="auto"/>
              </w:rPr>
            </w:pPr>
            <w:r>
              <w:rPr>
                <w:rFonts w:ascii="Arial" w:cs="Arial" w:eastAsia="Arial" w:hAnsi="Arial"/>
                <w:sz w:val="17"/>
                <w:szCs w:val="17"/>
                <w:color w:val="auto"/>
              </w:rPr>
              <w:t>290,861</w:t>
            </w:r>
          </w:p>
        </w:tc>
        <w:tc>
          <w:tcPr>
            <w:tcW w:w="3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Test preparation</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62,829</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79,787</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81,151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Kaplan international</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176,385</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181,656</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197,858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Kaplan corporate and other</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1,157</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1,003</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998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Arial" w:cs="Arial" w:eastAsia="Arial" w:hAnsi="Arial"/>
                <w:sz w:val="17"/>
                <w:szCs w:val="17"/>
                <w:color w:val="auto"/>
              </w:rPr>
              <w:t>Intersegment elimination</w:t>
            </w:r>
          </w:p>
        </w:tc>
        <w:tc>
          <w:tcPr>
            <w:tcW w:w="1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(1,475)</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(1,105)</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640" w:type="dxa"/>
            <w:vAlign w:val="bottom"/>
            <w:vMerge w:val="restart"/>
          </w:tcPr>
          <w:p>
            <w:pPr>
              <w:spacing w:after="0"/>
              <w:rPr>
                <w:sz w:val="20"/>
                <w:szCs w:val="20"/>
                <w:color w:val="auto"/>
              </w:rPr>
            </w:pPr>
            <w:r>
              <w:rPr>
                <w:rFonts w:ascii="Arial" w:cs="Arial" w:eastAsia="Arial" w:hAnsi="Arial"/>
                <w:sz w:val="17"/>
                <w:szCs w:val="17"/>
                <w:b w:val="1"/>
                <w:bCs w:val="1"/>
                <w:color w:val="auto"/>
              </w:rPr>
              <w:t>Income (Loss) from Operations</w:t>
            </w:r>
          </w:p>
        </w:tc>
        <w:tc>
          <w:tcPr>
            <w:tcW w:w="190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color w:val="auto"/>
              </w:rPr>
              <w:t>547,280</w:t>
            </w:r>
          </w:p>
        </w:tc>
        <w:tc>
          <w:tcPr>
            <w:tcW w:w="4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color w:val="auto"/>
              </w:rPr>
              <w:t>552,202</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552,585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1,510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40" w:type="dxa"/>
            <w:vAlign w:val="bottom"/>
          </w:tcPr>
          <w:p>
            <w:pPr>
              <w:ind w:left="240"/>
              <w:spacing w:after="0" w:line="180" w:lineRule="exact"/>
              <w:rPr>
                <w:sz w:val="20"/>
                <w:szCs w:val="20"/>
                <w:color w:val="auto"/>
              </w:rPr>
            </w:pPr>
            <w:r>
              <w:rPr>
                <w:rFonts w:ascii="Arial" w:cs="Arial" w:eastAsia="Arial" w:hAnsi="Arial"/>
                <w:sz w:val="17"/>
                <w:szCs w:val="17"/>
                <w:color w:val="auto"/>
              </w:rPr>
              <w:t>Higher education</w:t>
            </w:r>
          </w:p>
        </w:tc>
        <w:tc>
          <w:tcPr>
            <w:tcW w:w="2260" w:type="dxa"/>
            <w:vAlign w:val="bottom"/>
            <w:gridSpan w:val="2"/>
          </w:tcPr>
          <w:p>
            <w:pPr>
              <w:jc w:val="right"/>
              <w:ind w:right="37"/>
              <w:spacing w:after="0" w:line="180"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19"/>
              <w:spacing w:after="0" w:line="180" w:lineRule="exact"/>
              <w:rPr>
                <w:sz w:val="20"/>
                <w:szCs w:val="20"/>
                <w:color w:val="auto"/>
              </w:rPr>
            </w:pPr>
            <w:r>
              <w:rPr>
                <w:rFonts w:ascii="Arial" w:cs="Arial" w:eastAsia="Arial" w:hAnsi="Arial"/>
                <w:sz w:val="17"/>
                <w:szCs w:val="17"/>
                <w:color w:val="auto"/>
              </w:rPr>
              <w:t>8,959</w:t>
            </w:r>
          </w:p>
        </w:tc>
        <w:tc>
          <w:tcPr>
            <w:tcW w:w="440" w:type="dxa"/>
            <w:vAlign w:val="bottom"/>
          </w:tcPr>
          <w:p>
            <w:pPr>
              <w:jc w:val="right"/>
              <w:ind w:right="57"/>
              <w:spacing w:after="0" w:line="180"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119"/>
              <w:spacing w:after="0" w:line="180" w:lineRule="exact"/>
              <w:rPr>
                <w:sz w:val="20"/>
                <w:szCs w:val="20"/>
                <w:color w:val="auto"/>
              </w:rPr>
            </w:pPr>
            <w:r>
              <w:rPr>
                <w:rFonts w:ascii="Arial" w:cs="Arial" w:eastAsia="Arial" w:hAnsi="Arial"/>
                <w:sz w:val="17"/>
                <w:szCs w:val="17"/>
                <w:color w:val="auto"/>
              </w:rPr>
              <w:t>5,860</w:t>
            </w:r>
          </w:p>
        </w:tc>
        <w:tc>
          <w:tcPr>
            <w:tcW w:w="3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Test preparation</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(10,219)</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2,706</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3,446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Kaplan international</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3,423</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9,294</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20,619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Kaplan corporate and other</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(14,272)</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(14,293)</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(11,106)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Arial" w:cs="Arial" w:eastAsia="Arial" w:hAnsi="Arial"/>
                <w:sz w:val="17"/>
                <w:szCs w:val="17"/>
                <w:color w:val="auto"/>
              </w:rPr>
              <w:t>Intersegment elimination</w:t>
            </w:r>
          </w:p>
        </w:tc>
        <w:tc>
          <w:tcPr>
            <w:tcW w:w="1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194</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161</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640" w:type="dxa"/>
            <w:vAlign w:val="bottom"/>
            <w:vMerge w:val="restart"/>
          </w:tcPr>
          <w:p>
            <w:pPr>
              <w:spacing w:after="0"/>
              <w:rPr>
                <w:sz w:val="20"/>
                <w:szCs w:val="20"/>
                <w:color w:val="auto"/>
              </w:rPr>
            </w:pPr>
            <w:r>
              <w:rPr>
                <w:rFonts w:ascii="Arial" w:cs="Arial" w:eastAsia="Arial" w:hAnsi="Arial"/>
                <w:sz w:val="17"/>
                <w:szCs w:val="17"/>
                <w:b w:val="1"/>
                <w:bCs w:val="1"/>
                <w:color w:val="auto"/>
              </w:rPr>
              <w:t>Depreciation of Property, Plant and Equipment</w:t>
            </w:r>
          </w:p>
        </w:tc>
        <w:tc>
          <w:tcPr>
            <w:tcW w:w="190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color w:val="auto"/>
              </w:rPr>
              <w:t>(11,915)</w:t>
            </w:r>
          </w:p>
        </w:tc>
        <w:tc>
          <w:tcPr>
            <w:tcW w:w="4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color w:val="auto"/>
              </w:rPr>
              <w:t>3,728</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14,693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4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12,168</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640" w:type="dxa"/>
            <w:vAlign w:val="bottom"/>
          </w:tcPr>
          <w:p>
            <w:pPr>
              <w:ind w:left="240"/>
              <w:spacing w:after="0" w:line="180" w:lineRule="exact"/>
              <w:rPr>
                <w:sz w:val="20"/>
                <w:szCs w:val="20"/>
                <w:color w:val="auto"/>
              </w:rPr>
            </w:pPr>
            <w:r>
              <w:rPr>
                <w:rFonts w:ascii="Arial" w:cs="Arial" w:eastAsia="Arial" w:hAnsi="Arial"/>
                <w:sz w:val="17"/>
                <w:szCs w:val="17"/>
                <w:color w:val="auto"/>
              </w:rPr>
              <w:t>Higher education</w:t>
            </w:r>
          </w:p>
        </w:tc>
        <w:tc>
          <w:tcPr>
            <w:tcW w:w="2260" w:type="dxa"/>
            <w:vAlign w:val="bottom"/>
            <w:gridSpan w:val="2"/>
          </w:tcPr>
          <w:p>
            <w:pPr>
              <w:jc w:val="right"/>
              <w:ind w:right="37"/>
              <w:spacing w:after="0" w:line="180"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19"/>
              <w:spacing w:after="0" w:line="180" w:lineRule="exact"/>
              <w:rPr>
                <w:sz w:val="20"/>
                <w:szCs w:val="20"/>
                <w:color w:val="auto"/>
              </w:rPr>
            </w:pPr>
            <w:r>
              <w:rPr>
                <w:rFonts w:ascii="Arial" w:cs="Arial" w:eastAsia="Arial" w:hAnsi="Arial"/>
                <w:sz w:val="17"/>
                <w:szCs w:val="17"/>
                <w:color w:val="auto"/>
              </w:rPr>
              <w:t>11,757</w:t>
            </w:r>
          </w:p>
        </w:tc>
        <w:tc>
          <w:tcPr>
            <w:tcW w:w="440" w:type="dxa"/>
            <w:vAlign w:val="bottom"/>
          </w:tcPr>
          <w:p>
            <w:pPr>
              <w:jc w:val="right"/>
              <w:ind w:right="57"/>
              <w:spacing w:after="0" w:line="180" w:lineRule="exact"/>
              <w:rPr>
                <w:sz w:val="20"/>
                <w:szCs w:val="20"/>
                <w:color w:val="auto"/>
              </w:rPr>
            </w:pPr>
            <w:r>
              <w:rPr>
                <w:rFonts w:ascii="Arial" w:cs="Arial" w:eastAsia="Arial" w:hAnsi="Arial"/>
                <w:sz w:val="17"/>
                <w:szCs w:val="17"/>
                <w:color w:val="auto"/>
              </w:rPr>
              <w:t>$</w:t>
            </w:r>
          </w:p>
        </w:tc>
        <w:tc>
          <w:tcPr>
            <w:tcW w:w="1260" w:type="dxa"/>
            <w:vAlign w:val="bottom"/>
          </w:tcPr>
          <w:p>
            <w:pPr>
              <w:jc w:val="right"/>
              <w:ind w:right="119"/>
              <w:spacing w:after="0" w:line="180" w:lineRule="exact"/>
              <w:rPr>
                <w:sz w:val="20"/>
                <w:szCs w:val="20"/>
                <w:color w:val="auto"/>
              </w:rPr>
            </w:pPr>
            <w:r>
              <w:rPr>
                <w:rFonts w:ascii="Arial" w:cs="Arial" w:eastAsia="Arial" w:hAnsi="Arial"/>
                <w:sz w:val="17"/>
                <w:szCs w:val="17"/>
                <w:color w:val="auto"/>
              </w:rPr>
              <w:t>11,673</w:t>
            </w:r>
          </w:p>
        </w:tc>
        <w:tc>
          <w:tcPr>
            <w:tcW w:w="34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Test preparation</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4,315</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4,449</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5,544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40" w:type="dxa"/>
            <w:vAlign w:val="bottom"/>
          </w:tcPr>
          <w:p>
            <w:pPr>
              <w:ind w:left="240"/>
              <w:spacing w:after="0"/>
              <w:rPr>
                <w:sz w:val="20"/>
                <w:szCs w:val="20"/>
                <w:color w:val="auto"/>
              </w:rPr>
            </w:pPr>
            <w:r>
              <w:rPr>
                <w:rFonts w:ascii="Arial" w:cs="Arial" w:eastAsia="Arial" w:hAnsi="Arial"/>
                <w:sz w:val="17"/>
                <w:szCs w:val="17"/>
                <w:color w:val="auto"/>
              </w:rPr>
              <w:t>Kaplan international</w:t>
            </w:r>
          </w:p>
        </w:tc>
        <w:tc>
          <w:tcPr>
            <w:tcW w:w="1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19"/>
              <w:spacing w:after="0"/>
              <w:rPr>
                <w:sz w:val="20"/>
                <w:szCs w:val="20"/>
                <w:color w:val="auto"/>
              </w:rPr>
            </w:pPr>
            <w:r>
              <w:rPr>
                <w:rFonts w:ascii="Arial" w:cs="Arial" w:eastAsia="Arial" w:hAnsi="Arial"/>
                <w:sz w:val="17"/>
                <w:szCs w:val="17"/>
                <w:color w:val="auto"/>
              </w:rPr>
              <w:t>4,200</w:t>
            </w:r>
          </w:p>
        </w:tc>
        <w:tc>
          <w:tcPr>
            <w:tcW w:w="440" w:type="dxa"/>
            <w:vAlign w:val="bottom"/>
          </w:tcPr>
          <w:p>
            <w:pPr>
              <w:spacing w:after="0"/>
              <w:rPr>
                <w:sz w:val="17"/>
                <w:szCs w:val="17"/>
                <w:color w:val="auto"/>
              </w:rPr>
            </w:pPr>
          </w:p>
        </w:tc>
        <w:tc>
          <w:tcPr>
            <w:tcW w:w="1260" w:type="dxa"/>
            <w:vAlign w:val="bottom"/>
          </w:tcPr>
          <w:p>
            <w:pPr>
              <w:jc w:val="right"/>
              <w:ind w:right="119"/>
              <w:spacing w:after="0"/>
              <w:rPr>
                <w:sz w:val="20"/>
                <w:szCs w:val="20"/>
                <w:color w:val="auto"/>
              </w:rPr>
            </w:pPr>
            <w:r>
              <w:rPr>
                <w:rFonts w:ascii="Arial" w:cs="Arial" w:eastAsia="Arial" w:hAnsi="Arial"/>
                <w:sz w:val="17"/>
                <w:szCs w:val="17"/>
                <w:color w:val="auto"/>
              </w:rPr>
              <w:t>4,472</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b w:val="1"/>
                <w:bCs w:val="1"/>
                <w:color w:val="auto"/>
              </w:rPr>
              <w:t>3,841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640" w:type="dxa"/>
            <w:vAlign w:val="bottom"/>
          </w:tcPr>
          <w:p>
            <w:pPr>
              <w:ind w:left="240"/>
              <w:spacing w:after="0"/>
              <w:rPr>
                <w:sz w:val="20"/>
                <w:szCs w:val="20"/>
                <w:color w:val="auto"/>
              </w:rPr>
            </w:pPr>
            <w:r>
              <w:rPr>
                <w:rFonts w:ascii="Arial" w:cs="Arial" w:eastAsia="Arial" w:hAnsi="Arial"/>
                <w:sz w:val="17"/>
                <w:szCs w:val="17"/>
                <w:color w:val="auto"/>
              </w:rPr>
              <w:t>Kaplan corporate and other</w:t>
            </w:r>
          </w:p>
        </w:tc>
        <w:tc>
          <w:tcPr>
            <w:tcW w:w="19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445</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7"/>
                <w:szCs w:val="17"/>
                <w:color w:val="auto"/>
              </w:rPr>
              <w:t>417</w:t>
            </w: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360" w:type="dxa"/>
            <w:vAlign w:val="bottom"/>
            <w:tcBorders>
              <w:bottom w:val="single" w:sz="8" w:color="auto"/>
            </w:tcBorders>
          </w:tcPr>
          <w:p>
            <w:pPr>
              <w:jc w:val="right"/>
              <w:ind w:right="37"/>
              <w:spacing w:after="0" w:line="179" w:lineRule="exact"/>
              <w:rPr>
                <w:sz w:val="20"/>
                <w:szCs w:val="20"/>
                <w:color w:val="auto"/>
              </w:rPr>
            </w:pPr>
            <w:r>
              <w:rPr>
                <w:rFonts w:ascii="Arial" w:cs="Arial" w:eastAsia="Arial" w:hAnsi="Arial"/>
                <w:sz w:val="17"/>
                <w:szCs w:val="17"/>
                <w:color w:val="auto"/>
              </w:rPr>
              <w:t>$</w:t>
            </w:r>
          </w:p>
        </w:tc>
        <w:tc>
          <w:tcPr>
            <w:tcW w:w="128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color w:val="auto"/>
              </w:rPr>
              <w:t>20,717</w:t>
            </w:r>
          </w:p>
        </w:tc>
        <w:tc>
          <w:tcPr>
            <w:tcW w:w="440" w:type="dxa"/>
            <w:vAlign w:val="bottom"/>
            <w:tcBorders>
              <w:bottom w:val="single" w:sz="8" w:color="auto"/>
            </w:tcBorders>
          </w:tcPr>
          <w:p>
            <w:pPr>
              <w:jc w:val="right"/>
              <w:ind w:right="57"/>
              <w:spacing w:after="0" w:line="179" w:lineRule="exact"/>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ind w:right="119"/>
              <w:spacing w:after="0" w:line="179" w:lineRule="exact"/>
              <w:rPr>
                <w:sz w:val="20"/>
                <w:szCs w:val="20"/>
                <w:color w:val="auto"/>
              </w:rPr>
            </w:pPr>
            <w:r>
              <w:rPr>
                <w:rFonts w:ascii="Arial" w:cs="Arial" w:eastAsia="Arial" w:hAnsi="Arial"/>
                <w:sz w:val="17"/>
                <w:szCs w:val="17"/>
                <w:color w:val="auto"/>
              </w:rPr>
              <w:t>21,011</w:t>
            </w:r>
          </w:p>
        </w:tc>
        <w:tc>
          <w:tcPr>
            <w:tcW w:w="34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w:t>
            </w:r>
          </w:p>
        </w:tc>
        <w:tc>
          <w:tcPr>
            <w:tcW w:w="1200" w:type="dxa"/>
            <w:vAlign w:val="bottom"/>
            <w:tcBorders>
              <w:bottom w:val="single" w:sz="8" w:color="auto"/>
            </w:tcBorders>
          </w:tcPr>
          <w:p>
            <w:pPr>
              <w:jc w:val="right"/>
              <w:spacing w:after="0" w:line="179" w:lineRule="exact"/>
              <w:rPr>
                <w:sz w:val="20"/>
                <w:szCs w:val="20"/>
                <w:color w:val="auto"/>
              </w:rPr>
            </w:pPr>
            <w:r>
              <w:rPr>
                <w:rFonts w:ascii="Arial" w:cs="Arial" w:eastAsia="Arial" w:hAnsi="Arial"/>
                <w:sz w:val="17"/>
                <w:szCs w:val="17"/>
                <w:b w:val="1"/>
                <w:bCs w:val="1"/>
                <w:color w:val="auto"/>
              </w:rPr>
              <w:t>22,024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5"/>
        </w:trPr>
        <w:tc>
          <w:tcPr>
            <w:tcW w:w="4640" w:type="dxa"/>
            <w:vAlign w:val="bottom"/>
          </w:tcPr>
          <w:p>
            <w:pPr>
              <w:spacing w:after="0"/>
              <w:rPr>
                <w:sz w:val="24"/>
                <w:szCs w:val="24"/>
                <w:color w:val="auto"/>
              </w:rPr>
            </w:pPr>
          </w:p>
        </w:tc>
        <w:tc>
          <w:tcPr>
            <w:tcW w:w="1900" w:type="dxa"/>
            <w:vAlign w:val="bottom"/>
          </w:tcPr>
          <w:p>
            <w:pPr>
              <w:jc w:val="right"/>
              <w:ind w:right="657"/>
              <w:spacing w:after="0"/>
              <w:rPr>
                <w:sz w:val="20"/>
                <w:szCs w:val="20"/>
                <w:color w:val="auto"/>
              </w:rPr>
            </w:pPr>
            <w:r>
              <w:rPr>
                <w:rFonts w:ascii="Arial" w:cs="Arial" w:eastAsia="Arial" w:hAnsi="Arial"/>
                <w:sz w:val="17"/>
                <w:szCs w:val="17"/>
                <w:color w:val="auto"/>
              </w:rPr>
              <w:t>20</w:t>
            </w: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64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871" w:right="199" w:bottom="1440" w:gutter="0" w:footer="0" w:header="0"/>
        </w:sectPr>
      </w:pPr>
    </w:p>
    <w:bookmarkStart w:id="23" w:name="page24"/>
    <w:bookmarkEnd w:id="23"/>
    <w:p>
      <w:pPr>
        <w:spacing w:after="0"/>
        <w:rPr>
          <w:sz w:val="20"/>
          <w:szCs w:val="20"/>
          <w:color w:val="auto"/>
        </w:rPr>
      </w:pPr>
      <w:r>
        <w:rPr>
          <w:rFonts w:ascii="Arial" w:cs="Arial" w:eastAsia="Arial" w:hAnsi="Arial"/>
          <w:sz w:val="17"/>
          <w:szCs w:val="17"/>
          <w:color w:val="auto"/>
        </w:rPr>
        <w:t>The following table summarizes the 2011 quarterly financial information related to the reportable segments within the Company’s education division: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jc w:val="right"/>
              <w:ind w:right="287"/>
              <w:spacing w:after="0"/>
              <w:rPr>
                <w:sz w:val="20"/>
                <w:szCs w:val="20"/>
                <w:color w:val="auto"/>
              </w:rPr>
            </w:pPr>
            <w:r>
              <w:rPr>
                <w:rFonts w:ascii="Arial" w:cs="Arial" w:eastAsia="Arial" w:hAnsi="Arial"/>
                <w:sz w:val="12"/>
                <w:szCs w:val="12"/>
                <w:color w:val="auto"/>
              </w:rPr>
              <w:t>March 31,</w:t>
            </w:r>
          </w:p>
        </w:tc>
        <w:tc>
          <w:tcPr>
            <w:tcW w:w="280" w:type="dxa"/>
            <w:vAlign w:val="bottom"/>
          </w:tcPr>
          <w:p>
            <w:pPr>
              <w:spacing w:after="0"/>
              <w:rPr>
                <w:sz w:val="12"/>
                <w:szCs w:val="12"/>
                <w:color w:val="auto"/>
              </w:rPr>
            </w:pPr>
          </w:p>
        </w:tc>
        <w:tc>
          <w:tcPr>
            <w:tcW w:w="1020" w:type="dxa"/>
            <w:vAlign w:val="bottom"/>
          </w:tcPr>
          <w:p>
            <w:pPr>
              <w:jc w:val="right"/>
              <w:ind w:right="367"/>
              <w:spacing w:after="0"/>
              <w:rPr>
                <w:sz w:val="20"/>
                <w:szCs w:val="20"/>
                <w:color w:val="auto"/>
              </w:rPr>
            </w:pPr>
            <w:r>
              <w:rPr>
                <w:rFonts w:ascii="Arial" w:cs="Arial" w:eastAsia="Arial" w:hAnsi="Arial"/>
                <w:sz w:val="12"/>
                <w:szCs w:val="12"/>
                <w:color w:val="auto"/>
              </w:rPr>
              <w:t>June 30,</w:t>
            </w:r>
          </w:p>
        </w:tc>
        <w:tc>
          <w:tcPr>
            <w:tcW w:w="1300" w:type="dxa"/>
            <w:vAlign w:val="bottom"/>
            <w:gridSpan w:val="2"/>
          </w:tcPr>
          <w:p>
            <w:pPr>
              <w:jc w:val="right"/>
              <w:ind w:right="186"/>
              <w:spacing w:after="0"/>
              <w:rPr>
                <w:sz w:val="20"/>
                <w:szCs w:val="20"/>
                <w:color w:val="auto"/>
              </w:rPr>
            </w:pPr>
            <w:r>
              <w:rPr>
                <w:rFonts w:ascii="Arial" w:cs="Arial" w:eastAsia="Arial" w:hAnsi="Arial"/>
                <w:sz w:val="12"/>
                <w:szCs w:val="12"/>
                <w:color w:val="auto"/>
              </w:rPr>
              <w:t>September 30,</w:t>
            </w:r>
          </w:p>
        </w:tc>
        <w:tc>
          <w:tcPr>
            <w:tcW w:w="200" w:type="dxa"/>
            <w:vAlign w:val="bottom"/>
          </w:tcPr>
          <w:p>
            <w:pPr>
              <w:spacing w:after="0"/>
              <w:rPr>
                <w:sz w:val="12"/>
                <w:szCs w:val="12"/>
                <w:color w:val="auto"/>
              </w:rPr>
            </w:pPr>
          </w:p>
        </w:tc>
        <w:tc>
          <w:tcPr>
            <w:tcW w:w="980" w:type="dxa"/>
            <w:vAlign w:val="bottom"/>
          </w:tcPr>
          <w:p>
            <w:pPr>
              <w:jc w:val="right"/>
              <w:ind w:right="87"/>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7"/>
        </w:trPr>
        <w:tc>
          <w:tcPr>
            <w:tcW w:w="63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47"/>
              <w:spacing w:after="0"/>
              <w:rPr>
                <w:sz w:val="20"/>
                <w:szCs w:val="20"/>
                <w:color w:val="auto"/>
              </w:rPr>
            </w:pPr>
            <w:r>
              <w:rPr>
                <w:rFonts w:ascii="Arial" w:cs="Arial" w:eastAsia="Arial" w:hAnsi="Arial"/>
                <w:sz w:val="12"/>
                <w:szCs w:val="12"/>
                <w:color w:val="auto"/>
              </w:rPr>
              <w:t>2011</w:t>
            </w: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7"/>
              <w:spacing w:after="0"/>
              <w:rPr>
                <w:sz w:val="20"/>
                <w:szCs w:val="20"/>
                <w:color w:val="auto"/>
              </w:rPr>
            </w:pPr>
            <w:r>
              <w:rPr>
                <w:rFonts w:ascii="Arial" w:cs="Arial" w:eastAsia="Arial" w:hAnsi="Arial"/>
                <w:sz w:val="12"/>
                <w:szCs w:val="12"/>
                <w:color w:val="auto"/>
              </w:rPr>
              <w:t>2011</w:t>
            </w: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86"/>
              <w:spacing w:after="0"/>
              <w:rPr>
                <w:sz w:val="20"/>
                <w:szCs w:val="20"/>
                <w:color w:val="auto"/>
              </w:rPr>
            </w:pPr>
            <w:r>
              <w:rPr>
                <w:rFonts w:ascii="Arial" w:cs="Arial" w:eastAsia="Arial" w:hAnsi="Arial"/>
                <w:sz w:val="12"/>
                <w:szCs w:val="12"/>
                <w:color w:val="auto"/>
              </w:rPr>
              <w:t>2011</w:t>
            </w: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367"/>
              <w:spacing w:after="0"/>
              <w:rPr>
                <w:sz w:val="20"/>
                <w:szCs w:val="20"/>
                <w:color w:val="auto"/>
              </w:rPr>
            </w:pPr>
            <w:r>
              <w:rPr>
                <w:rFonts w:ascii="Arial" w:cs="Arial" w:eastAsia="Arial" w:hAnsi="Arial"/>
                <w:sz w:val="12"/>
                <w:szCs w:val="12"/>
                <w:color w:val="auto"/>
              </w:rPr>
              <w:t>2011</w:t>
            </w:r>
          </w:p>
        </w:tc>
        <w:tc>
          <w:tcPr>
            <w:tcW w:w="0" w:type="dxa"/>
            <w:vAlign w:val="bottom"/>
          </w:tcPr>
          <w:p>
            <w:pPr>
              <w:spacing w:after="0"/>
              <w:rPr>
                <w:sz w:val="1"/>
                <w:szCs w:val="1"/>
                <w:color w:val="auto"/>
              </w:rPr>
            </w:pPr>
          </w:p>
        </w:tc>
      </w:tr>
      <w:tr>
        <w:trPr>
          <w:trHeight w:val="168"/>
        </w:trPr>
        <w:tc>
          <w:tcPr>
            <w:tcW w:w="630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3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386,883</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358,312</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330,856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323,532</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73,365</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83,197</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79,630</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66,901</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152,135</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169,016</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192,609</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190,821</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1,117</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1,065</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1,293</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1,110</w:t>
            </w:r>
          </w:p>
        </w:tc>
        <w:tc>
          <w:tcPr>
            <w:tcW w:w="0" w:type="dxa"/>
            <w:vAlign w:val="bottom"/>
          </w:tcPr>
          <w:p>
            <w:pPr>
              <w:spacing w:after="0"/>
              <w:rPr>
                <w:sz w:val="1"/>
                <w:szCs w:val="1"/>
                <w:color w:val="auto"/>
              </w:rPr>
            </w:pPr>
          </w:p>
        </w:tc>
      </w:tr>
      <w:tr>
        <w:trPr>
          <w:trHeight w:val="172"/>
        </w:trPr>
        <w:tc>
          <w:tcPr>
            <w:tcW w:w="630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(1,786)</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(1,219)</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(2,777)</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(1,601)</w:t>
            </w:r>
          </w:p>
        </w:tc>
        <w:tc>
          <w:tcPr>
            <w:tcW w:w="0" w:type="dxa"/>
            <w:vAlign w:val="bottom"/>
          </w:tcPr>
          <w:p>
            <w:pPr>
              <w:spacing w:after="0"/>
              <w:rPr>
                <w:sz w:val="1"/>
                <w:szCs w:val="1"/>
                <w:color w:val="auto"/>
              </w:rPr>
            </w:pPr>
          </w:p>
        </w:tc>
      </w:tr>
      <w:tr>
        <w:trPr>
          <w:trHeight w:val="166"/>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3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611,714</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610,371</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601,611</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580,763</w:t>
            </w:r>
          </w:p>
        </w:tc>
        <w:tc>
          <w:tcPr>
            <w:tcW w:w="0" w:type="dxa"/>
            <w:vAlign w:val="bottom"/>
          </w:tcPr>
          <w:p>
            <w:pPr>
              <w:spacing w:after="0"/>
              <w:rPr>
                <w:sz w:val="1"/>
                <w:szCs w:val="1"/>
                <w:color w:val="auto"/>
              </w:rPr>
            </w:pPr>
          </w:p>
        </w:tc>
      </w:tr>
      <w:tr>
        <w:trPr>
          <w:trHeight w:val="168"/>
        </w:trPr>
        <w:tc>
          <w:tcPr>
            <w:tcW w:w="6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3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50,650</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45,157</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25,083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28,025</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(12,676)</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(11,597)</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(4,745)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520</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(682)</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8,642</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10,775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22,771</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(16,032)</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(18,664)</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(9,225)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(20,596)</w:t>
            </w:r>
          </w:p>
        </w:tc>
        <w:tc>
          <w:tcPr>
            <w:tcW w:w="0" w:type="dxa"/>
            <w:vAlign w:val="bottom"/>
          </w:tcPr>
          <w:p>
            <w:pPr>
              <w:spacing w:after="0"/>
              <w:rPr>
                <w:sz w:val="1"/>
                <w:szCs w:val="1"/>
                <w:color w:val="auto"/>
              </w:rPr>
            </w:pPr>
          </w:p>
        </w:tc>
      </w:tr>
      <w:tr>
        <w:trPr>
          <w:trHeight w:val="172"/>
        </w:trPr>
        <w:tc>
          <w:tcPr>
            <w:tcW w:w="630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(231)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18</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(1,080)</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173</w:t>
            </w:r>
          </w:p>
        </w:tc>
        <w:tc>
          <w:tcPr>
            <w:tcW w:w="0" w:type="dxa"/>
            <w:vAlign w:val="bottom"/>
          </w:tcPr>
          <w:p>
            <w:pPr>
              <w:spacing w:after="0"/>
              <w:rPr>
                <w:sz w:val="1"/>
                <w:szCs w:val="1"/>
                <w:color w:val="auto"/>
              </w:rPr>
            </w:pPr>
          </w:p>
        </w:tc>
      </w:tr>
      <w:tr>
        <w:trPr>
          <w:trHeight w:val="166"/>
        </w:trPr>
        <w:tc>
          <w:tcPr>
            <w:tcW w:w="630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3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21,029</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23,556</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20,808</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30,893</w:t>
            </w:r>
          </w:p>
        </w:tc>
        <w:tc>
          <w:tcPr>
            <w:tcW w:w="0" w:type="dxa"/>
            <w:vAlign w:val="bottom"/>
          </w:tcPr>
          <w:p>
            <w:pPr>
              <w:spacing w:after="0"/>
              <w:rPr>
                <w:sz w:val="1"/>
                <w:szCs w:val="1"/>
                <w:color w:val="auto"/>
              </w:rPr>
            </w:pPr>
          </w:p>
        </w:tc>
      </w:tr>
      <w:tr>
        <w:trPr>
          <w:trHeight w:val="168"/>
        </w:trPr>
        <w:tc>
          <w:tcPr>
            <w:tcW w:w="63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Higher education</w:t>
            </w:r>
          </w:p>
        </w:tc>
        <w:tc>
          <w:tcPr>
            <w:tcW w:w="340" w:type="dxa"/>
            <w:vAlign w:val="bottom"/>
          </w:tcPr>
          <w:p>
            <w:pPr>
              <w:jc w:val="right"/>
              <w:ind w:right="6"/>
              <w:spacing w:after="0"/>
              <w:rPr>
                <w:sz w:val="20"/>
                <w:szCs w:val="20"/>
                <w:color w:val="auto"/>
              </w:rPr>
            </w:pPr>
            <w:r>
              <w:rPr>
                <w:rFonts w:ascii="Arial" w:cs="Arial" w:eastAsia="Arial" w:hAnsi="Arial"/>
                <w:sz w:val="15"/>
                <w:szCs w:val="15"/>
                <w:color w:val="auto"/>
              </w:rPr>
              <w:t>$</w:t>
            </w: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11,241</w:t>
            </w:r>
          </w:p>
        </w:tc>
        <w:tc>
          <w:tcPr>
            <w:tcW w:w="280" w:type="dxa"/>
            <w:vAlign w:val="bottom"/>
          </w:tcPr>
          <w:p>
            <w:pPr>
              <w:jc w:val="right"/>
              <w:ind w:right="26"/>
              <w:spacing w:after="0"/>
              <w:rPr>
                <w:sz w:val="20"/>
                <w:szCs w:val="20"/>
                <w:color w:val="auto"/>
              </w:rPr>
            </w:pPr>
            <w:r>
              <w:rPr>
                <w:rFonts w:ascii="Arial" w:cs="Arial" w:eastAsia="Arial" w:hAnsi="Arial"/>
                <w:sz w:val="15"/>
                <w:szCs w:val="15"/>
                <w:color w:val="auto"/>
              </w:rPr>
              <w:t>$</w:t>
            </w: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11,897</w:t>
            </w:r>
          </w:p>
        </w:tc>
        <w:tc>
          <w:tcPr>
            <w:tcW w:w="36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11,825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13,416</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4,449</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3,796</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3,445</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3,799</w:t>
            </w:r>
          </w:p>
        </w:tc>
        <w:tc>
          <w:tcPr>
            <w:tcW w:w="0" w:type="dxa"/>
            <w:vAlign w:val="bottom"/>
          </w:tcPr>
          <w:p>
            <w:pPr>
              <w:spacing w:after="0"/>
              <w:rPr>
                <w:sz w:val="1"/>
                <w:szCs w:val="1"/>
                <w:color w:val="auto"/>
              </w:rPr>
            </w:pPr>
          </w:p>
        </w:tc>
      </w:tr>
      <w:tr>
        <w:trPr>
          <w:trHeight w:val="174"/>
        </w:trPr>
        <w:tc>
          <w:tcPr>
            <w:tcW w:w="630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Arial" w:cs="Arial" w:eastAsia="Arial" w:hAnsi="Arial"/>
                <w:sz w:val="15"/>
                <w:szCs w:val="15"/>
                <w:color w:val="auto"/>
              </w:rPr>
              <w:t>3,468</w:t>
            </w:r>
          </w:p>
        </w:tc>
        <w:tc>
          <w:tcPr>
            <w:tcW w:w="280" w:type="dxa"/>
            <w:vAlign w:val="bottom"/>
          </w:tcPr>
          <w:p>
            <w:pPr>
              <w:spacing w:after="0"/>
              <w:rPr>
                <w:sz w:val="15"/>
                <w:szCs w:val="15"/>
                <w:color w:val="auto"/>
              </w:rPr>
            </w:pPr>
          </w:p>
        </w:tc>
        <w:tc>
          <w:tcPr>
            <w:tcW w:w="1020" w:type="dxa"/>
            <w:vAlign w:val="bottom"/>
          </w:tcPr>
          <w:p>
            <w:pPr>
              <w:jc w:val="right"/>
              <w:ind w:right="67"/>
              <w:spacing w:after="0"/>
              <w:rPr>
                <w:sz w:val="20"/>
                <w:szCs w:val="20"/>
                <w:color w:val="auto"/>
              </w:rPr>
            </w:pPr>
            <w:r>
              <w:rPr>
                <w:rFonts w:ascii="Arial" w:cs="Arial" w:eastAsia="Arial" w:hAnsi="Arial"/>
                <w:sz w:val="15"/>
                <w:szCs w:val="15"/>
                <w:color w:val="auto"/>
              </w:rPr>
              <w:t>4,751</w:t>
            </w:r>
          </w:p>
        </w:tc>
        <w:tc>
          <w:tcPr>
            <w:tcW w:w="360" w:type="dxa"/>
            <w:vAlign w:val="bottom"/>
          </w:tcPr>
          <w:p>
            <w:pPr>
              <w:spacing w:after="0"/>
              <w:rPr>
                <w:sz w:val="15"/>
                <w:szCs w:val="15"/>
                <w:color w:val="auto"/>
              </w:rPr>
            </w:pPr>
          </w:p>
        </w:tc>
        <w:tc>
          <w:tcPr>
            <w:tcW w:w="940" w:type="dxa"/>
            <w:vAlign w:val="bottom"/>
          </w:tcPr>
          <w:p>
            <w:pPr>
              <w:jc w:val="right"/>
              <w:ind w:right="26"/>
              <w:spacing w:after="0"/>
              <w:rPr>
                <w:sz w:val="20"/>
                <w:szCs w:val="20"/>
                <w:color w:val="auto"/>
              </w:rPr>
            </w:pPr>
            <w:r>
              <w:rPr>
                <w:rFonts w:ascii="Arial" w:cs="Arial" w:eastAsia="Arial" w:hAnsi="Arial"/>
                <w:sz w:val="15"/>
                <w:szCs w:val="15"/>
                <w:color w:val="auto"/>
              </w:rPr>
              <w:t>4,384</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4,350</w:t>
            </w:r>
          </w:p>
        </w:tc>
        <w:tc>
          <w:tcPr>
            <w:tcW w:w="0" w:type="dxa"/>
            <w:vAlign w:val="bottom"/>
          </w:tcPr>
          <w:p>
            <w:pPr>
              <w:spacing w:after="0"/>
              <w:rPr>
                <w:sz w:val="1"/>
                <w:szCs w:val="1"/>
                <w:color w:val="auto"/>
              </w:rPr>
            </w:pPr>
          </w:p>
        </w:tc>
      </w:tr>
      <w:tr>
        <w:trPr>
          <w:trHeight w:val="172"/>
        </w:trPr>
        <w:tc>
          <w:tcPr>
            <w:tcW w:w="630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3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rPr>
              <w:t>831</w:t>
            </w:r>
          </w:p>
        </w:tc>
        <w:tc>
          <w:tcPr>
            <w:tcW w:w="2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rPr>
              <w:t>864</w:t>
            </w: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rPr>
              <w:t>684</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535</w:t>
            </w:r>
          </w:p>
        </w:tc>
        <w:tc>
          <w:tcPr>
            <w:tcW w:w="0" w:type="dxa"/>
            <w:vAlign w:val="bottom"/>
          </w:tcPr>
          <w:p>
            <w:pPr>
              <w:spacing w:after="0"/>
              <w:rPr>
                <w:sz w:val="1"/>
                <w:szCs w:val="1"/>
                <w:color w:val="auto"/>
              </w:rPr>
            </w:pPr>
          </w:p>
        </w:tc>
      </w:tr>
      <w:tr>
        <w:trPr>
          <w:trHeight w:val="166"/>
        </w:trPr>
        <w:tc>
          <w:tcPr>
            <w:tcW w:w="6300" w:type="dxa"/>
            <w:vAlign w:val="bottom"/>
          </w:tcPr>
          <w:p>
            <w:pPr>
              <w:spacing w:after="0"/>
              <w:rPr>
                <w:sz w:val="14"/>
                <w:szCs w:val="14"/>
                <w:color w:val="auto"/>
              </w:rPr>
            </w:pPr>
          </w:p>
        </w:tc>
        <w:tc>
          <w:tcPr>
            <w:tcW w:w="34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Arial" w:cs="Arial" w:eastAsia="Arial" w:hAnsi="Arial"/>
                <w:sz w:val="15"/>
                <w:szCs w:val="15"/>
                <w:color w:val="auto"/>
              </w:rPr>
              <w:t>19,989</w:t>
            </w:r>
          </w:p>
        </w:tc>
        <w:tc>
          <w:tcPr>
            <w:tcW w:w="2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2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color w:val="auto"/>
              </w:rPr>
              <w:t>21,308</w:t>
            </w:r>
          </w:p>
        </w:tc>
        <w:tc>
          <w:tcPr>
            <w:tcW w:w="360" w:type="dxa"/>
            <w:vAlign w:val="bottom"/>
            <w:tcBorders>
              <w:bottom w:val="single" w:sz="8" w:color="auto"/>
            </w:tcBorders>
          </w:tcPr>
          <w:p>
            <w:pPr>
              <w:jc w:val="right"/>
              <w:ind w:right="47"/>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20,338</w:t>
            </w:r>
          </w:p>
        </w:tc>
        <w:tc>
          <w:tcPr>
            <w:tcW w:w="2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22,100</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information related to the operating segments of the Company’s education division segments: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40" w:type="dxa"/>
            <w:vAlign w:val="bottom"/>
            <w:gridSpan w:val="2"/>
          </w:tcPr>
          <w:p>
            <w:pPr>
              <w:jc w:val="right"/>
              <w:ind w:right="6"/>
              <w:spacing w:after="0"/>
              <w:rPr>
                <w:sz w:val="20"/>
                <w:szCs w:val="20"/>
                <w:color w:val="auto"/>
              </w:rPr>
            </w:pPr>
            <w:r>
              <w:rPr>
                <w:rFonts w:ascii="Arial" w:cs="Arial" w:eastAsia="Arial" w:hAnsi="Arial"/>
                <w:sz w:val="12"/>
                <w:szCs w:val="12"/>
                <w:b w:val="1"/>
                <w:bCs w:val="1"/>
                <w:color w:val="auto"/>
              </w:rPr>
              <w:t>Nine Months Ended</w:t>
            </w: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40" w:type="dxa"/>
            <w:vAlign w:val="bottom"/>
            <w:gridSpan w:val="3"/>
          </w:tcPr>
          <w:p>
            <w:pPr>
              <w:jc w:val="right"/>
              <w:ind w:right="1007"/>
              <w:spacing w:after="0"/>
              <w:rPr>
                <w:sz w:val="20"/>
                <w:szCs w:val="20"/>
                <w:color w:val="auto"/>
              </w:rPr>
            </w:pPr>
            <w:r>
              <w:rPr>
                <w:rFonts w:ascii="Arial" w:cs="Arial" w:eastAsia="Arial" w:hAnsi="Arial"/>
                <w:sz w:val="12"/>
                <w:szCs w:val="12"/>
                <w:color w:val="auto"/>
              </w:rPr>
              <w:t>Fiscal Year Ended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482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2"/>
          </w:tcPr>
          <w:p>
            <w:pPr>
              <w:jc w:val="right"/>
              <w:ind w:right="146"/>
              <w:spacing w:after="0"/>
              <w:rPr>
                <w:sz w:val="20"/>
                <w:szCs w:val="20"/>
                <w:color w:val="auto"/>
              </w:rPr>
            </w:pPr>
            <w:r>
              <w:rPr>
                <w:rFonts w:ascii="Arial" w:cs="Arial" w:eastAsia="Arial" w:hAnsi="Arial"/>
                <w:sz w:val="12"/>
                <w:szCs w:val="12"/>
                <w:b w:val="1"/>
                <w:bCs w:val="1"/>
                <w:color w:val="auto"/>
              </w:rPr>
              <w:t>September 30,</w:t>
            </w: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December 31,</w:t>
            </w:r>
          </w:p>
        </w:tc>
        <w:tc>
          <w:tcPr>
            <w:tcW w:w="11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820" w:type="dxa"/>
            <w:vAlign w:val="bottom"/>
            <w:tcBorders>
              <w:bottom w:val="single" w:sz="8" w:color="auto"/>
            </w:tcBorders>
          </w:tcPr>
          <w:p>
            <w:pPr>
              <w:spacing w:after="0" w:line="129" w:lineRule="exact"/>
              <w:rPr>
                <w:sz w:val="20"/>
                <w:szCs w:val="20"/>
                <w:color w:val="auto"/>
              </w:rPr>
            </w:pPr>
            <w:r>
              <w:rPr>
                <w:rFonts w:ascii="Arial" w:cs="Arial" w:eastAsia="Arial" w:hAnsi="Arial"/>
                <w:sz w:val="12"/>
                <w:szCs w:val="12"/>
                <w:color w:val="auto"/>
              </w:rPr>
              <w:t>(in thousands)</w:t>
            </w:r>
          </w:p>
        </w:tc>
        <w:tc>
          <w:tcPr>
            <w:tcW w:w="4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07"/>
              <w:spacing w:after="0" w:line="129" w:lineRule="exact"/>
              <w:rPr>
                <w:sz w:val="20"/>
                <w:szCs w:val="20"/>
                <w:color w:val="auto"/>
              </w:rPr>
            </w:pPr>
            <w:r>
              <w:rPr>
                <w:rFonts w:ascii="Arial" w:cs="Arial" w:eastAsia="Arial" w:hAnsi="Arial"/>
                <w:sz w:val="12"/>
                <w:szCs w:val="12"/>
                <w:b w:val="1"/>
                <w:bCs w:val="1"/>
                <w:color w:val="auto"/>
              </w:rPr>
              <w:t>2012</w:t>
            </w:r>
          </w:p>
        </w:tc>
        <w:tc>
          <w:tcPr>
            <w:tcW w:w="6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526"/>
              <w:spacing w:after="0" w:line="129" w:lineRule="exact"/>
              <w:rPr>
                <w:sz w:val="20"/>
                <w:szCs w:val="20"/>
                <w:color w:val="auto"/>
              </w:rPr>
            </w:pPr>
            <w:r>
              <w:rPr>
                <w:rFonts w:ascii="Arial" w:cs="Arial" w:eastAsia="Arial" w:hAnsi="Arial"/>
                <w:sz w:val="12"/>
                <w:szCs w:val="12"/>
                <w:color w:val="auto"/>
              </w:rPr>
              <w:t>2011</w:t>
            </w: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jc w:val="right"/>
              <w:ind w:right="748"/>
              <w:spacing w:after="0" w:line="129" w:lineRule="exact"/>
              <w:rPr>
                <w:sz w:val="20"/>
                <w:szCs w:val="20"/>
                <w:color w:val="auto"/>
              </w:rPr>
            </w:pPr>
            <w:r>
              <w:rPr>
                <w:rFonts w:ascii="Arial" w:cs="Arial" w:eastAsia="Arial" w:hAnsi="Arial"/>
                <w:sz w:val="12"/>
                <w:szCs w:val="12"/>
                <w:color w:val="auto"/>
              </w:rPr>
              <w:t>2011</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27"/>
              <w:spacing w:after="0" w:line="129" w:lineRule="exact"/>
              <w:rPr>
                <w:sz w:val="20"/>
                <w:szCs w:val="20"/>
                <w:color w:val="auto"/>
              </w:rPr>
            </w:pPr>
            <w:r>
              <w:rPr>
                <w:rFonts w:ascii="Arial" w:cs="Arial" w:eastAsia="Arial" w:hAnsi="Arial"/>
                <w:sz w:val="12"/>
                <w:szCs w:val="12"/>
                <w:color w:val="auto"/>
              </w:rPr>
              <w:t>2010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Arial" w:cs="Arial" w:eastAsia="Arial" w:hAnsi="Arial"/>
                <w:sz w:val="15"/>
                <w:szCs w:val="15"/>
                <w:b w:val="1"/>
                <w:bCs w:val="1"/>
                <w:color w:val="auto"/>
              </w:rPr>
              <w:t>Operating Revenues</w:t>
            </w:r>
          </w:p>
        </w:tc>
        <w:tc>
          <w:tcPr>
            <w:tcW w:w="42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872,948</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4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60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56" w:lineRule="exact"/>
              <w:rPr>
                <w:sz w:val="20"/>
                <w:szCs w:val="20"/>
                <w:color w:val="auto"/>
              </w:rPr>
            </w:pPr>
            <w:r>
              <w:rPr>
                <w:rFonts w:ascii="Arial" w:cs="Arial" w:eastAsia="Arial" w:hAnsi="Arial"/>
                <w:sz w:val="15"/>
                <w:szCs w:val="15"/>
                <w:color w:val="auto"/>
              </w:rPr>
              <w:t>1,076,051</w:t>
            </w:r>
          </w:p>
        </w:tc>
        <w:tc>
          <w:tcPr>
            <w:tcW w:w="300" w:type="dxa"/>
            <w:vAlign w:val="bottom"/>
          </w:tcPr>
          <w:p>
            <w:pPr>
              <w:spacing w:after="0"/>
              <w:rPr>
                <w:sz w:val="13"/>
                <w:szCs w:val="13"/>
                <w:color w:val="auto"/>
              </w:rPr>
            </w:pPr>
          </w:p>
        </w:tc>
        <w:tc>
          <w:tcPr>
            <w:tcW w:w="260" w:type="dxa"/>
            <w:vAlign w:val="bottom"/>
          </w:tcPr>
          <w:p>
            <w:pPr>
              <w:ind w:left="80"/>
              <w:spacing w:after="0" w:line="156" w:lineRule="exact"/>
              <w:rPr>
                <w:sz w:val="20"/>
                <w:szCs w:val="20"/>
                <w:color w:val="auto"/>
              </w:rPr>
            </w:pPr>
            <w:r>
              <w:rPr>
                <w:rFonts w:ascii="Arial" w:cs="Arial" w:eastAsia="Arial" w:hAnsi="Arial"/>
                <w:sz w:val="15"/>
                <w:szCs w:val="15"/>
                <w:color w:val="auto"/>
              </w:rPr>
              <w:t>$</w:t>
            </w:r>
          </w:p>
        </w:tc>
        <w:tc>
          <w:tcPr>
            <w:tcW w:w="1360" w:type="dxa"/>
            <w:vAlign w:val="bottom"/>
          </w:tcPr>
          <w:p>
            <w:pPr>
              <w:jc w:val="right"/>
              <w:ind w:right="188"/>
              <w:spacing w:after="0" w:line="156" w:lineRule="exact"/>
              <w:rPr>
                <w:sz w:val="20"/>
                <w:szCs w:val="20"/>
                <w:color w:val="auto"/>
              </w:rPr>
            </w:pPr>
            <w:r>
              <w:rPr>
                <w:rFonts w:ascii="Arial" w:cs="Arial" w:eastAsia="Arial" w:hAnsi="Arial"/>
                <w:sz w:val="15"/>
                <w:szCs w:val="15"/>
                <w:color w:val="auto"/>
              </w:rPr>
              <w:t>1,399,583</w:t>
            </w:r>
          </w:p>
        </w:tc>
        <w:tc>
          <w:tcPr>
            <w:tcW w:w="3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1,905,038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223,767</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236,192</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303,093</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314,879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555,899</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513,760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704,581</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587,781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3,158</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3,475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4,585</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5,537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(3,705)</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(5,782)</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(7,383)</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(8,395)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Income (Loss) from Operations</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1,652,067</w:t>
            </w:r>
          </w:p>
        </w:tc>
        <w:tc>
          <w:tcPr>
            <w:tcW w:w="60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1,823,696</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80"/>
              <w:spacing w:after="0" w:line="167"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88"/>
              <w:spacing w:after="0" w:line="167" w:lineRule="exact"/>
              <w:rPr>
                <w:sz w:val="20"/>
                <w:szCs w:val="20"/>
                <w:color w:val="auto"/>
              </w:rPr>
            </w:pPr>
            <w:r>
              <w:rPr>
                <w:rFonts w:ascii="Arial" w:cs="Arial" w:eastAsia="Arial" w:hAnsi="Arial"/>
                <w:sz w:val="15"/>
                <w:szCs w:val="15"/>
                <w:color w:val="auto"/>
              </w:rPr>
              <w:t>2,404,459</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2,804,840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42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16,329</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4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60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56" w:lineRule="exact"/>
              <w:rPr>
                <w:sz w:val="20"/>
                <w:szCs w:val="20"/>
                <w:color w:val="auto"/>
              </w:rPr>
            </w:pPr>
            <w:r>
              <w:rPr>
                <w:rFonts w:ascii="Arial" w:cs="Arial" w:eastAsia="Arial" w:hAnsi="Arial"/>
                <w:sz w:val="15"/>
                <w:szCs w:val="15"/>
                <w:color w:val="auto"/>
              </w:rPr>
              <w:t>120,890</w:t>
            </w:r>
          </w:p>
        </w:tc>
        <w:tc>
          <w:tcPr>
            <w:tcW w:w="300" w:type="dxa"/>
            <w:vAlign w:val="bottom"/>
          </w:tcPr>
          <w:p>
            <w:pPr>
              <w:spacing w:after="0"/>
              <w:rPr>
                <w:sz w:val="13"/>
                <w:szCs w:val="13"/>
                <w:color w:val="auto"/>
              </w:rPr>
            </w:pPr>
          </w:p>
        </w:tc>
        <w:tc>
          <w:tcPr>
            <w:tcW w:w="260" w:type="dxa"/>
            <w:vAlign w:val="bottom"/>
          </w:tcPr>
          <w:p>
            <w:pPr>
              <w:ind w:left="80"/>
              <w:spacing w:after="0" w:line="156" w:lineRule="exact"/>
              <w:rPr>
                <w:sz w:val="20"/>
                <w:szCs w:val="20"/>
                <w:color w:val="auto"/>
              </w:rPr>
            </w:pPr>
            <w:r>
              <w:rPr>
                <w:rFonts w:ascii="Arial" w:cs="Arial" w:eastAsia="Arial" w:hAnsi="Arial"/>
                <w:sz w:val="15"/>
                <w:szCs w:val="15"/>
                <w:color w:val="auto"/>
              </w:rPr>
              <w:t>$</w:t>
            </w:r>
          </w:p>
        </w:tc>
        <w:tc>
          <w:tcPr>
            <w:tcW w:w="1360" w:type="dxa"/>
            <w:vAlign w:val="bottom"/>
          </w:tcPr>
          <w:p>
            <w:pPr>
              <w:jc w:val="right"/>
              <w:ind w:right="188"/>
              <w:spacing w:after="0" w:line="156" w:lineRule="exact"/>
              <w:rPr>
                <w:sz w:val="20"/>
                <w:szCs w:val="20"/>
                <w:color w:val="auto"/>
              </w:rPr>
            </w:pPr>
            <w:r>
              <w:rPr>
                <w:rFonts w:ascii="Arial" w:cs="Arial" w:eastAsia="Arial" w:hAnsi="Arial"/>
                <w:sz w:val="15"/>
                <w:szCs w:val="15"/>
                <w:color w:val="auto"/>
              </w:rPr>
              <w:t>148,915</w:t>
            </w:r>
          </w:p>
        </w:tc>
        <w:tc>
          <w:tcPr>
            <w:tcW w:w="3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406,880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(4,067)</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(29,018)</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(28,498)</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(32,583)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33,336</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18,735</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41,506</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49,309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(39,671)</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(43,921)</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(64,517)</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(63,788)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579</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(1,120)</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(234)</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20" w:type="dxa"/>
            <w:vAlign w:val="bottom"/>
            <w:vMerge w:val="restart"/>
          </w:tcPr>
          <w:p>
            <w:pPr>
              <w:spacing w:after="0"/>
              <w:rPr>
                <w:sz w:val="20"/>
                <w:szCs w:val="20"/>
                <w:color w:val="auto"/>
              </w:rPr>
            </w:pPr>
            <w:r>
              <w:rPr>
                <w:rFonts w:ascii="Arial" w:cs="Arial" w:eastAsia="Arial" w:hAnsi="Arial"/>
                <w:sz w:val="15"/>
                <w:szCs w:val="15"/>
                <w:b w:val="1"/>
                <w:bCs w:val="1"/>
                <w:color w:val="auto"/>
              </w:rPr>
              <w:t>Depreciation of Property, Plant and Equipment</w:t>
            </w: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6,506</w:t>
            </w:r>
          </w:p>
        </w:tc>
        <w:tc>
          <w:tcPr>
            <w:tcW w:w="60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65,393</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80"/>
              <w:spacing w:after="0" w:line="167"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88"/>
              <w:spacing w:after="0" w:line="167" w:lineRule="exact"/>
              <w:rPr>
                <w:sz w:val="20"/>
                <w:szCs w:val="20"/>
                <w:color w:val="auto"/>
              </w:rPr>
            </w:pPr>
            <w:r>
              <w:rPr>
                <w:rFonts w:ascii="Arial" w:cs="Arial" w:eastAsia="Arial" w:hAnsi="Arial"/>
                <w:sz w:val="15"/>
                <w:szCs w:val="15"/>
                <w:color w:val="auto"/>
              </w:rPr>
              <w:t>96,286</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359,584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820" w:type="dxa"/>
            <w:vAlign w:val="bottom"/>
            <w:vMerge w:val="continue"/>
          </w:tcPr>
          <w:p>
            <w:pPr>
              <w:spacing w:after="0"/>
              <w:rPr>
                <w:sz w:val="14"/>
                <w:szCs w:val="14"/>
                <w:color w:val="auto"/>
              </w:rPr>
            </w:pPr>
          </w:p>
        </w:tc>
        <w:tc>
          <w:tcPr>
            <w:tcW w:w="420" w:type="dxa"/>
            <w:vAlign w:val="bottom"/>
            <w:vMerge w:val="restart"/>
          </w:tcPr>
          <w:p>
            <w:pPr>
              <w:jc w:val="right"/>
              <w:ind w:right="106"/>
              <w:spacing w:after="0"/>
              <w:rPr>
                <w:sz w:val="20"/>
                <w:szCs w:val="20"/>
                <w:color w:val="auto"/>
              </w:rPr>
            </w:pPr>
            <w:r>
              <w:rPr>
                <w:rFonts w:ascii="Arial" w:cs="Arial" w:eastAsia="Arial" w:hAnsi="Arial"/>
                <w:sz w:val="15"/>
                <w:szCs w:val="15"/>
                <w:b w:val="1"/>
                <w:bCs w:val="1"/>
                <w:color w:val="auto"/>
              </w:rPr>
              <w:t>$</w:t>
            </w:r>
          </w:p>
        </w:tc>
        <w:tc>
          <w:tcPr>
            <w:tcW w:w="124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rPr>
              <w:t>35,598</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4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600" w:type="dxa"/>
            <w:vAlign w:val="bottom"/>
          </w:tcPr>
          <w:p>
            <w:pPr>
              <w:jc w:val="right"/>
              <w:ind w:right="226"/>
              <w:spacing w:after="0" w:line="156" w:lineRule="exact"/>
              <w:rPr>
                <w:sz w:val="20"/>
                <w:szCs w:val="20"/>
                <w:color w:val="auto"/>
              </w:rPr>
            </w:pPr>
            <w:r>
              <w:rPr>
                <w:rFonts w:ascii="Arial" w:cs="Arial" w:eastAsia="Arial" w:hAnsi="Arial"/>
                <w:sz w:val="15"/>
                <w:szCs w:val="15"/>
                <w:color w:val="auto"/>
              </w:rPr>
              <w:t>$</w:t>
            </w:r>
          </w:p>
        </w:tc>
        <w:tc>
          <w:tcPr>
            <w:tcW w:w="940" w:type="dxa"/>
            <w:vAlign w:val="bottom"/>
          </w:tcPr>
          <w:p>
            <w:pPr>
              <w:jc w:val="right"/>
              <w:spacing w:after="0" w:line="156" w:lineRule="exact"/>
              <w:rPr>
                <w:sz w:val="20"/>
                <w:szCs w:val="20"/>
                <w:color w:val="auto"/>
              </w:rPr>
            </w:pPr>
            <w:r>
              <w:rPr>
                <w:rFonts w:ascii="Arial" w:cs="Arial" w:eastAsia="Arial" w:hAnsi="Arial"/>
                <w:sz w:val="15"/>
                <w:szCs w:val="15"/>
                <w:color w:val="auto"/>
              </w:rPr>
              <w:t>34,963</w:t>
            </w:r>
          </w:p>
        </w:tc>
        <w:tc>
          <w:tcPr>
            <w:tcW w:w="300" w:type="dxa"/>
            <w:vAlign w:val="bottom"/>
          </w:tcPr>
          <w:p>
            <w:pPr>
              <w:spacing w:after="0"/>
              <w:rPr>
                <w:sz w:val="13"/>
                <w:szCs w:val="13"/>
                <w:color w:val="auto"/>
              </w:rPr>
            </w:pPr>
          </w:p>
        </w:tc>
        <w:tc>
          <w:tcPr>
            <w:tcW w:w="260" w:type="dxa"/>
            <w:vAlign w:val="bottom"/>
          </w:tcPr>
          <w:p>
            <w:pPr>
              <w:ind w:left="80"/>
              <w:spacing w:after="0" w:line="156" w:lineRule="exact"/>
              <w:rPr>
                <w:sz w:val="20"/>
                <w:szCs w:val="20"/>
                <w:color w:val="auto"/>
              </w:rPr>
            </w:pPr>
            <w:r>
              <w:rPr>
                <w:rFonts w:ascii="Arial" w:cs="Arial" w:eastAsia="Arial" w:hAnsi="Arial"/>
                <w:sz w:val="15"/>
                <w:szCs w:val="15"/>
                <w:color w:val="auto"/>
              </w:rPr>
              <w:t>$</w:t>
            </w:r>
          </w:p>
        </w:tc>
        <w:tc>
          <w:tcPr>
            <w:tcW w:w="1360" w:type="dxa"/>
            <w:vAlign w:val="bottom"/>
          </w:tcPr>
          <w:p>
            <w:pPr>
              <w:jc w:val="right"/>
              <w:ind w:right="188"/>
              <w:spacing w:after="0" w:line="156" w:lineRule="exact"/>
              <w:rPr>
                <w:sz w:val="20"/>
                <w:szCs w:val="20"/>
                <w:color w:val="auto"/>
              </w:rPr>
            </w:pPr>
            <w:r>
              <w:rPr>
                <w:rFonts w:ascii="Arial" w:cs="Arial" w:eastAsia="Arial" w:hAnsi="Arial"/>
                <w:sz w:val="15"/>
                <w:szCs w:val="15"/>
                <w:color w:val="auto"/>
              </w:rPr>
              <w:t>48,379</w:t>
            </w:r>
          </w:p>
        </w:tc>
        <w:tc>
          <w:tcPr>
            <w:tcW w:w="30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42,412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14,308</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11,690</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15,489</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14,095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5"/>
                <w:szCs w:val="15"/>
                <w:color w:val="auto"/>
              </w:rPr>
            </w:pPr>
          </w:p>
        </w:tc>
        <w:tc>
          <w:tcPr>
            <w:tcW w:w="1240" w:type="dxa"/>
            <w:vAlign w:val="bottom"/>
          </w:tcPr>
          <w:p>
            <w:pPr>
              <w:jc w:val="right"/>
              <w:ind w:right="127"/>
              <w:spacing w:after="0"/>
              <w:rPr>
                <w:sz w:val="20"/>
                <w:szCs w:val="20"/>
                <w:color w:val="auto"/>
              </w:rPr>
            </w:pPr>
            <w:r>
              <w:rPr>
                <w:rFonts w:ascii="Arial" w:cs="Arial" w:eastAsia="Arial" w:hAnsi="Arial"/>
                <w:sz w:val="15"/>
                <w:szCs w:val="15"/>
                <w:b w:val="1"/>
                <w:bCs w:val="1"/>
                <w:color w:val="auto"/>
              </w:rPr>
              <w:t>12,513</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12,603</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188"/>
              <w:spacing w:after="0"/>
              <w:rPr>
                <w:sz w:val="20"/>
                <w:szCs w:val="20"/>
                <w:color w:val="auto"/>
              </w:rPr>
            </w:pPr>
            <w:r>
              <w:rPr>
                <w:rFonts w:ascii="Arial" w:cs="Arial" w:eastAsia="Arial" w:hAnsi="Arial"/>
                <w:sz w:val="15"/>
                <w:szCs w:val="15"/>
                <w:color w:val="auto"/>
              </w:rPr>
              <w:t>16,953</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12,993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4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b w:val="1"/>
                <w:bCs w:val="1"/>
                <w:color w:val="auto"/>
              </w:rPr>
              <w:t>1,333</w:t>
            </w:r>
          </w:p>
        </w:tc>
        <w:tc>
          <w:tcPr>
            <w:tcW w:w="6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2,379</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rPr>
              <w:t>2,914</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3,851</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42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b w:val="1"/>
                <w:bCs w:val="1"/>
                <w:color w:val="auto"/>
              </w:rPr>
              <w:t>$</w:t>
            </w:r>
          </w:p>
        </w:tc>
        <w:tc>
          <w:tcPr>
            <w:tcW w:w="1240" w:type="dxa"/>
            <w:vAlign w:val="bottom"/>
            <w:tcBorders>
              <w:bottom w:val="single" w:sz="8" w:color="auto"/>
            </w:tcBorders>
          </w:tcPr>
          <w:p>
            <w:pPr>
              <w:jc w:val="right"/>
              <w:ind w:right="127"/>
              <w:spacing w:after="0" w:line="167" w:lineRule="exact"/>
              <w:rPr>
                <w:sz w:val="20"/>
                <w:szCs w:val="20"/>
                <w:color w:val="auto"/>
              </w:rPr>
            </w:pPr>
            <w:r>
              <w:rPr>
                <w:rFonts w:ascii="Arial" w:cs="Arial" w:eastAsia="Arial" w:hAnsi="Arial"/>
                <w:sz w:val="15"/>
                <w:szCs w:val="15"/>
                <w:b w:val="1"/>
                <w:bCs w:val="1"/>
                <w:color w:val="auto"/>
              </w:rPr>
              <w:t>63,752</w:t>
            </w:r>
          </w:p>
        </w:tc>
        <w:tc>
          <w:tcPr>
            <w:tcW w:w="600" w:type="dxa"/>
            <w:vAlign w:val="bottom"/>
            <w:tcBorders>
              <w:bottom w:val="single" w:sz="8" w:color="auto"/>
            </w:tcBorders>
          </w:tcPr>
          <w:p>
            <w:pPr>
              <w:jc w:val="right"/>
              <w:ind w:right="226"/>
              <w:spacing w:after="0" w:line="167" w:lineRule="exact"/>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61,635</w:t>
            </w: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ind w:left="80"/>
              <w:spacing w:after="0" w:line="167"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tcPr>
          <w:p>
            <w:pPr>
              <w:jc w:val="right"/>
              <w:ind w:right="188"/>
              <w:spacing w:after="0" w:line="167" w:lineRule="exact"/>
              <w:rPr>
                <w:sz w:val="20"/>
                <w:szCs w:val="20"/>
                <w:color w:val="auto"/>
              </w:rPr>
            </w:pPr>
            <w:r>
              <w:rPr>
                <w:rFonts w:ascii="Arial" w:cs="Arial" w:eastAsia="Arial" w:hAnsi="Arial"/>
                <w:sz w:val="15"/>
                <w:szCs w:val="15"/>
                <w:color w:val="auto"/>
              </w:rPr>
              <w:t>83,735</w:t>
            </w: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73,351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6480" w:type="dxa"/>
            <w:vAlign w:val="bottom"/>
            <w:gridSpan w:val="3"/>
          </w:tcPr>
          <w:p>
            <w:pPr>
              <w:spacing w:after="0"/>
              <w:rPr>
                <w:sz w:val="20"/>
                <w:szCs w:val="20"/>
                <w:color w:val="auto"/>
              </w:rPr>
            </w:pPr>
            <w:r>
              <w:rPr>
                <w:rFonts w:ascii="Arial" w:cs="Arial" w:eastAsia="Arial" w:hAnsi="Arial"/>
                <w:sz w:val="17"/>
                <w:szCs w:val="17"/>
                <w:color w:val="auto"/>
              </w:rPr>
              <w:t>Identifiable assets for the Company’s education division consist of the following:</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As of</w:t>
            </w: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4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2"/>
          </w:tcPr>
          <w:p>
            <w:pPr>
              <w:ind w:left="80"/>
              <w:spacing w:after="0" w:line="114" w:lineRule="exact"/>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9"/>
                <w:szCs w:val="9"/>
                <w:color w:val="auto"/>
              </w:rPr>
            </w:pPr>
          </w:p>
        </w:tc>
        <w:tc>
          <w:tcPr>
            <w:tcW w:w="1180" w:type="dxa"/>
            <w:vAlign w:val="bottom"/>
          </w:tcPr>
          <w:p>
            <w:pPr>
              <w:jc w:val="right"/>
              <w:ind w:right="327"/>
              <w:spacing w:after="0" w:line="114" w:lineRule="exact"/>
              <w:rPr>
                <w:sz w:val="20"/>
                <w:szCs w:val="20"/>
                <w:color w:val="auto"/>
              </w:rPr>
            </w:pPr>
            <w:r>
              <w:rPr>
                <w:rFonts w:ascii="Arial" w:cs="Arial" w:eastAsia="Arial" w:hAnsi="Arial"/>
                <w:sz w:val="12"/>
                <w:szCs w:val="12"/>
                <w:color w:val="auto"/>
              </w:rPr>
              <w:t>December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4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928"/>
              <w:spacing w:after="0"/>
              <w:rPr>
                <w:sz w:val="20"/>
                <w:szCs w:val="20"/>
                <w:color w:val="auto"/>
              </w:rPr>
            </w:pPr>
            <w:r>
              <w:rPr>
                <w:rFonts w:ascii="Arial" w:cs="Arial" w:eastAsia="Arial" w:hAnsi="Arial"/>
                <w:sz w:val="12"/>
                <w:szCs w:val="12"/>
                <w:b w:val="1"/>
                <w:bCs w:val="1"/>
                <w:color w:val="auto"/>
              </w:rPr>
              <w:t>2012</w:t>
            </w: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87"/>
              <w:spacing w:after="0"/>
              <w:rPr>
                <w:sz w:val="20"/>
                <w:szCs w:val="20"/>
                <w:color w:val="auto"/>
              </w:rPr>
            </w:pPr>
            <w:r>
              <w:rPr>
                <w:rFonts w:ascii="Arial" w:cs="Arial" w:eastAsia="Arial" w:hAnsi="Arial"/>
                <w:sz w:val="12"/>
                <w:szCs w:val="12"/>
                <w:color w:val="auto"/>
              </w:rPr>
              <w:t>2011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820" w:type="dxa"/>
            <w:vAlign w:val="bottom"/>
          </w:tcPr>
          <w:p>
            <w:pPr>
              <w:spacing w:after="0" w:line="168" w:lineRule="exact"/>
              <w:rPr>
                <w:sz w:val="20"/>
                <w:szCs w:val="20"/>
                <w:color w:val="auto"/>
              </w:rPr>
            </w:pPr>
            <w:r>
              <w:rPr>
                <w:rFonts w:ascii="Arial" w:cs="Arial" w:eastAsia="Arial" w:hAnsi="Arial"/>
                <w:sz w:val="15"/>
                <w:szCs w:val="15"/>
                <w:b w:val="1"/>
                <w:bCs w:val="1"/>
                <w:color w:val="auto"/>
              </w:rPr>
              <w:t>Identifiable Assets</w:t>
            </w: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4"/>
                <w:szCs w:val="14"/>
                <w:color w:val="auto"/>
              </w:rPr>
            </w:pPr>
          </w:p>
        </w:tc>
        <w:tc>
          <w:tcPr>
            <w:tcW w:w="1360" w:type="dxa"/>
            <w:vAlign w:val="bottom"/>
            <w:vMerge w:val="restart"/>
          </w:tcPr>
          <w:p>
            <w:pPr>
              <w:jc w:val="right"/>
              <w:ind w:right="288"/>
              <w:spacing w:after="0"/>
              <w:rPr>
                <w:sz w:val="20"/>
                <w:szCs w:val="20"/>
                <w:color w:val="auto"/>
              </w:rPr>
            </w:pPr>
            <w:r>
              <w:rPr>
                <w:rFonts w:ascii="Arial" w:cs="Arial" w:eastAsia="Arial" w:hAnsi="Arial"/>
                <w:sz w:val="15"/>
                <w:szCs w:val="15"/>
                <w:b w:val="1"/>
                <w:bCs w:val="1"/>
                <w:color w:val="auto"/>
              </w:rPr>
              <w:t>683,253</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82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300" w:type="dxa"/>
            <w:vAlign w:val="bottom"/>
          </w:tcPr>
          <w:p>
            <w:pPr>
              <w:jc w:val="right"/>
              <w:ind w:right="106"/>
              <w:spacing w:after="0" w:line="156" w:lineRule="exact"/>
              <w:rPr>
                <w:sz w:val="20"/>
                <w:szCs w:val="20"/>
                <w:color w:val="auto"/>
              </w:rPr>
            </w:pPr>
            <w:r>
              <w:rPr>
                <w:rFonts w:ascii="Arial" w:cs="Arial" w:eastAsia="Arial" w:hAnsi="Arial"/>
                <w:sz w:val="15"/>
                <w:szCs w:val="15"/>
                <w:color w:val="auto"/>
              </w:rPr>
              <w:t>$</w:t>
            </w:r>
          </w:p>
        </w:tc>
        <w:tc>
          <w:tcPr>
            <w:tcW w:w="1180" w:type="dxa"/>
            <w:vAlign w:val="bottom"/>
          </w:tcPr>
          <w:p>
            <w:pPr>
              <w:jc w:val="right"/>
              <w:spacing w:after="0" w:line="156" w:lineRule="exact"/>
              <w:rPr>
                <w:sz w:val="20"/>
                <w:szCs w:val="20"/>
                <w:color w:val="auto"/>
              </w:rPr>
            </w:pPr>
            <w:r>
              <w:rPr>
                <w:rFonts w:ascii="Arial" w:cs="Arial" w:eastAsia="Arial" w:hAnsi="Arial"/>
                <w:sz w:val="15"/>
                <w:szCs w:val="15"/>
                <w:color w:val="auto"/>
              </w:rPr>
              <w:t>919,443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288"/>
              <w:spacing w:after="0"/>
              <w:rPr>
                <w:sz w:val="20"/>
                <w:szCs w:val="20"/>
                <w:color w:val="auto"/>
              </w:rPr>
            </w:pPr>
            <w:r>
              <w:rPr>
                <w:rFonts w:ascii="Arial" w:cs="Arial" w:eastAsia="Arial" w:hAnsi="Arial"/>
                <w:sz w:val="15"/>
                <w:szCs w:val="15"/>
                <w:b w:val="1"/>
                <w:bCs w:val="1"/>
                <w:color w:val="auto"/>
              </w:rPr>
              <w:t>325,143</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334,343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82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right"/>
              <w:ind w:right="288"/>
              <w:spacing w:after="0"/>
              <w:rPr>
                <w:sz w:val="20"/>
                <w:szCs w:val="20"/>
                <w:color w:val="auto"/>
              </w:rPr>
            </w:pPr>
            <w:r>
              <w:rPr>
                <w:rFonts w:ascii="Arial" w:cs="Arial" w:eastAsia="Arial" w:hAnsi="Arial"/>
                <w:sz w:val="15"/>
                <w:szCs w:val="15"/>
                <w:b w:val="1"/>
                <w:bCs w:val="1"/>
                <w:color w:val="auto"/>
              </w:rPr>
              <w:t>884,285</w:t>
            </w: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810,140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820" w:type="dxa"/>
            <w:vAlign w:val="bottom"/>
          </w:tcPr>
          <w:p>
            <w:pPr>
              <w:ind w:left="240"/>
              <w:spacing w:after="0"/>
              <w:rPr>
                <w:sz w:val="20"/>
                <w:szCs w:val="20"/>
                <w:color w:val="auto"/>
              </w:rPr>
            </w:pPr>
            <w:r>
              <w:rPr>
                <w:rFonts w:ascii="Arial" w:cs="Arial" w:eastAsia="Arial" w:hAnsi="Arial"/>
                <w:sz w:val="15"/>
                <w:szCs w:val="15"/>
                <w:color w:val="auto"/>
              </w:rPr>
              <w:t>Kaplan corporate and other</w:t>
            </w: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5"/>
                <w:szCs w:val="15"/>
                <w:b w:val="1"/>
                <w:bCs w:val="1"/>
                <w:color w:val="auto"/>
              </w:rPr>
              <w:t>22,587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153,793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88"/>
              <w:spacing w:after="0" w:line="167" w:lineRule="exact"/>
              <w:rPr>
                <w:sz w:val="20"/>
                <w:szCs w:val="20"/>
                <w:color w:val="auto"/>
              </w:rPr>
            </w:pPr>
            <w:r>
              <w:rPr>
                <w:rFonts w:ascii="Arial" w:cs="Arial" w:eastAsia="Arial" w:hAnsi="Arial"/>
                <w:sz w:val="15"/>
                <w:szCs w:val="15"/>
                <w:b w:val="1"/>
                <w:bCs w:val="1"/>
                <w:color w:val="auto"/>
              </w:rPr>
              <w:t>1,915,268</w:t>
            </w:r>
          </w:p>
        </w:tc>
        <w:tc>
          <w:tcPr>
            <w:tcW w:w="300" w:type="dxa"/>
            <w:vAlign w:val="bottom"/>
            <w:tcBorders>
              <w:bottom w:val="single" w:sz="8" w:color="auto"/>
            </w:tcBorders>
          </w:tcPr>
          <w:p>
            <w:pPr>
              <w:jc w:val="right"/>
              <w:ind w:right="106"/>
              <w:spacing w:after="0" w:line="167" w:lineRule="exact"/>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2,217,719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5"/>
        </w:trPr>
        <w:tc>
          <w:tcPr>
            <w:tcW w:w="4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40" w:type="dxa"/>
            <w:vAlign w:val="bottom"/>
          </w:tcPr>
          <w:p>
            <w:pPr>
              <w:jc w:val="right"/>
              <w:ind w:right="607"/>
              <w:spacing w:after="0"/>
              <w:rPr>
                <w:sz w:val="20"/>
                <w:szCs w:val="20"/>
                <w:color w:val="auto"/>
              </w:rPr>
            </w:pPr>
            <w:r>
              <w:rPr>
                <w:rFonts w:ascii="Arial" w:cs="Arial" w:eastAsia="Arial" w:hAnsi="Arial"/>
                <w:sz w:val="17"/>
                <w:szCs w:val="17"/>
                <w:color w:val="auto"/>
              </w:rPr>
              <w:t>21</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482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7262495</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871" w:right="199" w:bottom="1440" w:gutter="0" w:footer="0" w:header="0"/>
        </w:sectPr>
      </w:pPr>
    </w:p>
    <w:bookmarkStart w:id="24" w:name="page25"/>
    <w:bookmarkEnd w:id="24"/>
    <w:p>
      <w:pPr>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Results of Operations and Financial Condition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This analysis should be read in conjunction with the condensed consolidated financial statements and the notes thereto.</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97"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The Company reported net income attributable to common shares of $93.8 million ($12.64 per share) for the third quarter ended September 30, 2012, compared to $6.2 million ($0.82 per share) for the third quarter of last year. Net income includes $ 49.1 million in income from discontinued operations ($6.61 per share) and $18.8 million ($2.41 per share) in losses from discontinued operations for the third quarter of 2012 and 2011, respectively. Income from continuing operations attributable to common shares was $44.7 million ($6.03 per share) for the third quarter of 2012, compared to $12.6 million ($1.59 per share) for the third quarter of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2012:</w:t>
      </w:r>
    </w:p>
    <w:p>
      <w:pPr>
        <w:spacing w:after="0" w:line="127" w:lineRule="exact"/>
        <w:rPr>
          <w:sz w:val="20"/>
          <w:szCs w:val="20"/>
          <w:color w:val="auto"/>
        </w:rPr>
      </w:pPr>
    </w:p>
    <w:p>
      <w:pPr>
        <w:ind w:left="300" w:right="120" w:hanging="146"/>
        <w:spacing w:after="0" w:line="246" w:lineRule="auto"/>
        <w:tabs>
          <w:tab w:leader="none" w:pos="257" w:val="left"/>
        </w:tabs>
        <w:numPr>
          <w:ilvl w:val="0"/>
          <w:numId w:val="7"/>
        </w:numPr>
        <w:rPr>
          <w:rFonts w:ascii="Arial" w:cs="Arial" w:eastAsia="Arial" w:hAnsi="Arial"/>
          <w:sz w:val="17"/>
          <w:szCs w:val="17"/>
          <w:color w:val="auto"/>
        </w:rPr>
      </w:pPr>
      <w:r>
        <w:rPr>
          <w:rFonts w:ascii="Arial" w:cs="Arial" w:eastAsia="Arial" w:hAnsi="Arial"/>
          <w:sz w:val="17"/>
          <w:szCs w:val="17"/>
          <w:color w:val="auto"/>
        </w:rPr>
        <w:t>$12.2 million in early retirement, severance and restructuring charges at the newspaper publishing division and Kaplan (after-tax impact of $7.6 million, or $1.02 per share); and</w:t>
      </w:r>
    </w:p>
    <w:p>
      <w:pPr>
        <w:spacing w:after="0" w:line="120" w:lineRule="exact"/>
        <w:rPr>
          <w:rFonts w:ascii="Arial" w:cs="Arial" w:eastAsia="Arial" w:hAnsi="Arial"/>
          <w:sz w:val="17"/>
          <w:szCs w:val="17"/>
          <w:color w:val="auto"/>
        </w:rPr>
      </w:pPr>
    </w:p>
    <w:p>
      <w:pPr>
        <w:ind w:left="260" w:hanging="112"/>
        <w:spacing w:after="0"/>
        <w:tabs>
          <w:tab w:leader="none" w:pos="260" w:val="left"/>
        </w:tabs>
        <w:numPr>
          <w:ilvl w:val="0"/>
          <w:numId w:val="7"/>
        </w:numPr>
        <w:rPr>
          <w:rFonts w:ascii="Arial" w:cs="Arial" w:eastAsia="Arial" w:hAnsi="Arial"/>
          <w:sz w:val="17"/>
          <w:szCs w:val="17"/>
          <w:color w:val="auto"/>
        </w:rPr>
      </w:pPr>
      <w:r>
        <w:rPr>
          <w:rFonts w:ascii="Arial" w:cs="Arial" w:eastAsia="Arial" w:hAnsi="Arial"/>
          <w:sz w:val="17"/>
          <w:szCs w:val="17"/>
          <w:color w:val="auto"/>
        </w:rPr>
        <w:t>$3.1 million in non-operating unrealized foreign currency gains (after-tax impact of $1.9 million, or $0.26 per share).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third quarter of 2011:</w:t>
      </w:r>
    </w:p>
    <w:p>
      <w:pPr>
        <w:spacing w:after="0" w:line="115" w:lineRule="exact"/>
        <w:rPr>
          <w:sz w:val="20"/>
          <w:szCs w:val="20"/>
          <w:color w:val="auto"/>
        </w:rPr>
      </w:pPr>
    </w:p>
    <w:p>
      <w:pPr>
        <w:ind w:left="260" w:hanging="10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$5.6 million in severance and restructuring charges at Kaplan (after-tax impact of $3.5 million, or $0.44 per share);</w:t>
      </w:r>
    </w:p>
    <w:p>
      <w:pPr>
        <w:spacing w:after="0" w:line="139" w:lineRule="exact"/>
        <w:rPr>
          <w:rFonts w:ascii="Arial" w:cs="Arial" w:eastAsia="Arial" w:hAnsi="Arial"/>
          <w:sz w:val="17"/>
          <w:szCs w:val="17"/>
          <w:color w:val="auto"/>
        </w:rPr>
      </w:pPr>
    </w:p>
    <w:p>
      <w:pPr>
        <w:ind w:left="260" w:hanging="10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139" w:lineRule="exact"/>
        <w:rPr>
          <w:rFonts w:ascii="Arial" w:cs="Arial" w:eastAsia="Arial" w:hAnsi="Arial"/>
          <w:sz w:val="17"/>
          <w:szCs w:val="17"/>
          <w:color w:val="auto"/>
        </w:rPr>
      </w:pPr>
    </w:p>
    <w:p>
      <w:pPr>
        <w:ind w:left="260" w:hanging="10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$23.1 million write-down of a marketable equity security (after-tax impact of $14.9 million, or $1.89 per share); and</w:t>
      </w:r>
    </w:p>
    <w:p>
      <w:pPr>
        <w:spacing w:after="0" w:line="127" w:lineRule="exact"/>
        <w:rPr>
          <w:rFonts w:ascii="Arial" w:cs="Arial" w:eastAsia="Arial" w:hAnsi="Arial"/>
          <w:sz w:val="17"/>
          <w:szCs w:val="17"/>
          <w:color w:val="auto"/>
        </w:rPr>
      </w:pPr>
    </w:p>
    <w:p>
      <w:pPr>
        <w:ind w:left="260" w:hanging="106"/>
        <w:spacing w:after="0"/>
        <w:tabs>
          <w:tab w:leader="none" w:pos="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$6.7 million in non-operating unrealized foreign currency losses (after-tax impact of $4.2 million, or $0.54 per share).</w:t>
      </w:r>
    </w:p>
    <w:p>
      <w:pPr>
        <w:spacing w:after="0" w:line="18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Revenue for the third quarter of 2012 was $1,011.3 million, flat compared to $1,012.5 million in the third quarter of 2011. The Company reported operating income of $75.9 million in the third quarter of 2012, compared to operating income of $70.2 million in the third quarter of 2011. Revenues and operating income increased at the television broadcasting and cable television divisions, offset by declines at the education and newspaper publishing divisions.</w:t>
      </w:r>
    </w:p>
    <w:p>
      <w:pPr>
        <w:spacing w:after="0" w:line="167"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For the first nine months of 2012, the Company reported net income attributable to common shares of $176.7 million ($23.39 per share), compared to $54.5 million ($6.81 per share) for the same period of 2011. However, net income includes $ 83.2 million ($11.01 per share) in income from discontinued operations and $28.8 million ($3.63 per share) in losses from discontinued operations for the first nine months of 2012 and 2011, respectively (refer to “Discontinued Operations” discussion below). Income from continuing operations attributable to common shares was $ 93.5 million ($12.38 per share) for the first nine months of 2012, compared to $83.3 million ($10.44 per share) for the first nine months of 2011. As a result of the Company’s share repurchases, there were 6% fewer diluted average shares outstanding in the first nine months of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2012:</w:t>
      </w:r>
    </w:p>
    <w:p>
      <w:pPr>
        <w:spacing w:after="0" w:line="177" w:lineRule="exact"/>
        <w:rPr>
          <w:sz w:val="20"/>
          <w:szCs w:val="20"/>
          <w:color w:val="auto"/>
        </w:rPr>
      </w:pPr>
    </w:p>
    <w:p>
      <w:pPr>
        <w:ind w:left="300" w:right="20" w:hanging="146"/>
        <w:spacing w:after="0" w:line="246" w:lineRule="auto"/>
        <w:tabs>
          <w:tab w:leader="none" w:pos="257" w:val="left"/>
        </w:tabs>
        <w:numPr>
          <w:ilvl w:val="0"/>
          <w:numId w:val="9"/>
        </w:numPr>
        <w:rPr>
          <w:rFonts w:ascii="Arial" w:cs="Arial" w:eastAsia="Arial" w:hAnsi="Arial"/>
          <w:sz w:val="17"/>
          <w:szCs w:val="17"/>
          <w:color w:val="auto"/>
        </w:rPr>
      </w:pPr>
      <w:r>
        <w:rPr>
          <w:rFonts w:ascii="Arial" w:cs="Arial" w:eastAsia="Arial" w:hAnsi="Arial"/>
          <w:sz w:val="17"/>
          <w:szCs w:val="17"/>
          <w:color w:val="auto"/>
        </w:rPr>
        <w:t>$22.4 million in early retirement, severance and restructuring charges at the newspaper publishing division and Kaplan (after-tax impact of $13.9 million, or $1.85 per share);</w:t>
      </w:r>
    </w:p>
    <w:p>
      <w:pPr>
        <w:spacing w:after="0" w:line="170" w:lineRule="exact"/>
        <w:rPr>
          <w:rFonts w:ascii="Arial" w:cs="Arial" w:eastAsia="Arial" w:hAnsi="Arial"/>
          <w:sz w:val="17"/>
          <w:szCs w:val="17"/>
          <w:color w:val="auto"/>
        </w:rPr>
      </w:pPr>
    </w:p>
    <w:p>
      <w:pPr>
        <w:ind w:left="260" w:hanging="106"/>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 $5.8 million gain on sales of cost method investments (after-tax impact of $3.7 million, or $0.48 per share); and</w:t>
      </w:r>
    </w:p>
    <w:p>
      <w:pPr>
        <w:spacing w:after="0" w:line="189" w:lineRule="exact"/>
        <w:rPr>
          <w:rFonts w:ascii="Arial" w:cs="Arial" w:eastAsia="Arial" w:hAnsi="Arial"/>
          <w:sz w:val="17"/>
          <w:szCs w:val="17"/>
          <w:color w:val="auto"/>
        </w:rPr>
      </w:pPr>
    </w:p>
    <w:p>
      <w:pPr>
        <w:ind w:left="260" w:hanging="112"/>
        <w:spacing w:after="0"/>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$3.2 million in non-operating unrealized foreign currency gains (after-tax impact of $2.0 million, or $0.27 per share).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00"/>
          </w:cols>
          <w:pgMar w:left="240" w:top="789" w:right="259" w:bottom="1440" w:gutter="0" w:footer="0" w:header="0"/>
        </w:sectPr>
      </w:pPr>
    </w:p>
    <w:bookmarkStart w:id="25" w:name="page26"/>
    <w:bookmarkEnd w:id="25"/>
    <w:p>
      <w:pPr>
        <w:spacing w:after="0"/>
        <w:rPr>
          <w:sz w:val="20"/>
          <w:szCs w:val="20"/>
          <w:color w:val="auto"/>
        </w:rPr>
      </w:pPr>
      <w:r>
        <w:rPr>
          <w:rFonts w:ascii="Arial" w:cs="Arial" w:eastAsia="Arial" w:hAnsi="Arial"/>
          <w:sz w:val="17"/>
          <w:szCs w:val="17"/>
          <w:color w:val="auto"/>
        </w:rPr>
        <w:t>Items included in the Company’s income from continuing operations for the first nine months of 2011:</w:t>
      </w:r>
    </w:p>
    <w:p>
      <w:pPr>
        <w:spacing w:after="0" w:line="177" w:lineRule="exact"/>
        <w:rPr>
          <w:sz w:val="20"/>
          <w:szCs w:val="20"/>
          <w:color w:val="auto"/>
        </w:rPr>
      </w:pPr>
    </w:p>
    <w:p>
      <w:pPr>
        <w:ind w:left="260" w:hanging="11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$19.6 million in severance and restructuring charges at Kaplan (after-tax impact of $12.2 million, or $1.52 per share);</w:t>
      </w:r>
    </w:p>
    <w:p>
      <w:pPr>
        <w:spacing w:after="0" w:line="189" w:lineRule="exact"/>
        <w:rPr>
          <w:rFonts w:ascii="Arial" w:cs="Arial" w:eastAsia="Arial" w:hAnsi="Arial"/>
          <w:sz w:val="17"/>
          <w:szCs w:val="17"/>
          <w:color w:val="auto"/>
        </w:rPr>
      </w:pPr>
    </w:p>
    <w:p>
      <w:pPr>
        <w:ind w:left="260" w:hanging="11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$9.2 million impairment charge at one of the Company’s affiliates (after-tax impact of $5.7 million, or $0.72 per share);</w:t>
      </w:r>
    </w:p>
    <w:p>
      <w:pPr>
        <w:spacing w:after="0" w:line="189" w:lineRule="exact"/>
        <w:rPr>
          <w:rFonts w:ascii="Arial" w:cs="Arial" w:eastAsia="Arial" w:hAnsi="Arial"/>
          <w:sz w:val="17"/>
          <w:szCs w:val="17"/>
          <w:color w:val="auto"/>
        </w:rPr>
      </w:pPr>
    </w:p>
    <w:p>
      <w:pPr>
        <w:ind w:left="260" w:hanging="11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$53.8 million write-down of a marketable equity security (after-tax impact of $34.6 million, or $4.34 per share); and</w:t>
      </w:r>
    </w:p>
    <w:p>
      <w:pPr>
        <w:spacing w:after="0" w:line="189" w:lineRule="exact"/>
        <w:rPr>
          <w:rFonts w:ascii="Arial" w:cs="Arial" w:eastAsia="Arial" w:hAnsi="Arial"/>
          <w:sz w:val="17"/>
          <w:szCs w:val="17"/>
          <w:color w:val="auto"/>
        </w:rPr>
      </w:pPr>
    </w:p>
    <w:p>
      <w:pPr>
        <w:ind w:left="260" w:hanging="112"/>
        <w:spacing w:after="0"/>
        <w:tabs>
          <w:tab w:leader="none" w:pos="2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$3.7 million in non-operating unrealized foreign currency losses (after-tax impact of $2.3 million, or $0.29 per share).</w:t>
      </w:r>
    </w:p>
    <w:p>
      <w:pPr>
        <w:spacing w:after="0" w:line="189"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Revenue for the first nine months of 2012 was $2,967.6 million, down 4% from $3,090.7 million in the first nine months of 2011. Revenues were down at the education and newspaper publishing divisions, partially offset by increases at the television broadcasting and cable television divisions. The Company reported operating income of $159.0 million for the first nine months of 2012, compared to $216.6 million for the first nine months of 2011. Operating results were down at all of the Company’s divisions, except for the television broadcasting division.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Division Results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Education</w:t>
      </w:r>
    </w:p>
    <w:p>
      <w:pPr>
        <w:spacing w:after="0" w:line="197" w:lineRule="exact"/>
        <w:rPr>
          <w:sz w:val="20"/>
          <w:szCs w:val="20"/>
          <w:color w:val="auto"/>
        </w:rPr>
      </w:pPr>
    </w:p>
    <w:p>
      <w:pPr>
        <w:ind w:right="280"/>
        <w:spacing w:after="0" w:line="233" w:lineRule="auto"/>
        <w:rPr>
          <w:sz w:val="20"/>
          <w:szCs w:val="20"/>
          <w:color w:val="auto"/>
        </w:rPr>
      </w:pPr>
      <w:r>
        <w:rPr>
          <w:rFonts w:ascii="Arial" w:cs="Arial" w:eastAsia="Arial" w:hAnsi="Arial"/>
          <w:sz w:val="17"/>
          <w:szCs w:val="17"/>
          <w:color w:val="auto"/>
        </w:rPr>
        <w:t>Education division revenue totaled $552.6 million for the third quarter of 2012, an 8% decline from revenue of $601.6 million for the third quarter of 2011. Excluding revenue from acquired businesses, education division revenue declined 9% in the third quarter of 2012. Kaplan reported third quarter 2012 operating income of $14.7 million, down from $20.8 million in the third quarter of 2011.</w:t>
      </w:r>
    </w:p>
    <w:p>
      <w:pPr>
        <w:spacing w:after="0" w:line="175" w:lineRule="exact"/>
        <w:rPr>
          <w:sz w:val="20"/>
          <w:szCs w:val="20"/>
          <w:color w:val="auto"/>
        </w:rPr>
      </w:pPr>
    </w:p>
    <w:p>
      <w:pPr>
        <w:jc w:val="both"/>
        <w:ind w:right="140"/>
        <w:spacing w:after="0" w:line="251" w:lineRule="auto"/>
        <w:rPr>
          <w:sz w:val="20"/>
          <w:szCs w:val="20"/>
          <w:color w:val="auto"/>
        </w:rPr>
      </w:pPr>
      <w:r>
        <w:rPr>
          <w:rFonts w:ascii="Arial" w:cs="Arial" w:eastAsia="Arial" w:hAnsi="Arial"/>
          <w:sz w:val="16"/>
          <w:szCs w:val="16"/>
          <w:color w:val="auto"/>
        </w:rPr>
        <w:t>For the first nine months of 2012, education division revenue totaled $1,652.1 million, a 9% decline from revenue of $1,823.7 million for the same period of 2011. Excluding revenue from acquired businesses, education division revenue declined 11% for the first nine months of 2012. Kaplan reported operating income of $6.5 million for the first nine months of 2012, compared to operating income of $65.4 million for the first nine months of 2011.</w:t>
      </w:r>
    </w:p>
    <w:p>
      <w:pPr>
        <w:spacing w:after="0" w:line="167"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In light of recent revenue declines and other business challenges, Kaplan has formulated and implemented restructuring plans at its various businesses that have resulted in significant costs in 2012 and 2011, with the objective of establishing lower costs levels in future periods. Across all businesses, severance and restructuring costs totaled $ 4.3 million and $9.3 million in the third quarter and first nine months of 2012, respectively, compared to $5.6 million and $19.6 million in the third quarter and first nine months of 2011, respectively. Kaplan expects to incur significant additional restructuring costs in the fourth quarter of 2012 and in 2013 at Kaplan Higher Education and Kaplan International.</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A summary of Kaplan’s operating results for the third quarter and the first nine months of 2012 compared to 2011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8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3"/>
          </w:tcPr>
          <w:p>
            <w:pPr>
              <w:jc w:val="right"/>
              <w:ind w:right="747"/>
              <w:spacing w:after="0"/>
              <w:rPr>
                <w:sz w:val="20"/>
                <w:szCs w:val="20"/>
                <w:color w:val="auto"/>
              </w:rPr>
            </w:pPr>
            <w:r>
              <w:rPr>
                <w:rFonts w:ascii="Arial" w:cs="Arial" w:eastAsia="Arial" w:hAnsi="Arial"/>
                <w:sz w:val="12"/>
                <w:szCs w:val="12"/>
                <w:b w:val="1"/>
                <w:bCs w:val="1"/>
                <w:color w:val="auto"/>
              </w:rPr>
              <w:t>Three Months Ended</w:t>
            </w:r>
          </w:p>
        </w:tc>
        <w:tc>
          <w:tcPr>
            <w:tcW w:w="1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3"/>
          </w:tcPr>
          <w:p>
            <w:pPr>
              <w:jc w:val="right"/>
              <w:ind w:right="647"/>
              <w:spacing w:after="0"/>
              <w:rPr>
                <w:sz w:val="20"/>
                <w:szCs w:val="20"/>
                <w:color w:val="auto"/>
              </w:rPr>
            </w:pPr>
            <w:r>
              <w:rPr>
                <w:rFonts w:ascii="Arial" w:cs="Arial" w:eastAsia="Arial" w:hAnsi="Arial"/>
                <w:sz w:val="12"/>
                <w:szCs w:val="12"/>
                <w:b w:val="1"/>
                <w:bCs w:val="1"/>
                <w:color w:val="auto"/>
              </w:rPr>
              <w:t>Nine Months Ended</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800" w:type="dxa"/>
            <w:vAlign w:val="bottom"/>
          </w:tcPr>
          <w:p>
            <w:pPr>
              <w:spacing w:after="0"/>
              <w:rPr>
                <w:sz w:val="9"/>
                <w:szCs w:val="9"/>
                <w:color w:val="auto"/>
              </w:rPr>
            </w:pPr>
          </w:p>
        </w:tc>
        <w:tc>
          <w:tcPr>
            <w:tcW w:w="1440" w:type="dxa"/>
            <w:vAlign w:val="bottom"/>
            <w:gridSpan w:val="2"/>
          </w:tcPr>
          <w:p>
            <w:pPr>
              <w:jc w:val="right"/>
              <w:ind w:right="307"/>
              <w:spacing w:after="0" w:line="114" w:lineRule="exact"/>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9"/>
                <w:szCs w:val="9"/>
                <w:color w:val="auto"/>
              </w:rPr>
            </w:pPr>
          </w:p>
        </w:tc>
        <w:tc>
          <w:tcPr>
            <w:tcW w:w="1060" w:type="dxa"/>
            <w:vAlign w:val="bottom"/>
          </w:tcPr>
          <w:p>
            <w:pPr>
              <w:jc w:val="right"/>
              <w:ind w:right="327"/>
              <w:spacing w:after="0" w:line="114" w:lineRule="exact"/>
              <w:rPr>
                <w:sz w:val="20"/>
                <w:szCs w:val="20"/>
                <w:color w:val="auto"/>
              </w:rPr>
            </w:pPr>
            <w:r>
              <w:rPr>
                <w:rFonts w:ascii="Arial" w:cs="Arial" w:eastAsia="Arial" w:hAnsi="Arial"/>
                <w:sz w:val="12"/>
                <w:szCs w:val="12"/>
                <w:color w:val="auto"/>
              </w:rPr>
              <w:t>October 2,</w:t>
            </w:r>
          </w:p>
        </w:tc>
        <w:tc>
          <w:tcPr>
            <w:tcW w:w="1140" w:type="dxa"/>
            <w:vAlign w:val="bottom"/>
          </w:tcPr>
          <w:p>
            <w:pPr>
              <w:spacing w:after="0"/>
              <w:rPr>
                <w:sz w:val="9"/>
                <w:szCs w:val="9"/>
                <w:color w:val="auto"/>
              </w:rPr>
            </w:pPr>
          </w:p>
        </w:tc>
        <w:tc>
          <w:tcPr>
            <w:tcW w:w="1340" w:type="dxa"/>
            <w:vAlign w:val="bottom"/>
            <w:gridSpan w:val="2"/>
          </w:tcPr>
          <w:p>
            <w:pPr>
              <w:jc w:val="right"/>
              <w:ind w:right="227"/>
              <w:spacing w:after="0" w:line="114" w:lineRule="exact"/>
              <w:rPr>
                <w:sz w:val="20"/>
                <w:szCs w:val="20"/>
                <w:color w:val="auto"/>
              </w:rPr>
            </w:pPr>
            <w:r>
              <w:rPr>
                <w:rFonts w:ascii="Arial" w:cs="Arial" w:eastAsia="Arial" w:hAnsi="Arial"/>
                <w:sz w:val="12"/>
                <w:szCs w:val="12"/>
                <w:b w:val="1"/>
                <w:bCs w:val="1"/>
                <w:color w:val="auto"/>
              </w:rPr>
              <w:t>September 30,</w:t>
            </w:r>
          </w:p>
        </w:tc>
        <w:tc>
          <w:tcPr>
            <w:tcW w:w="280" w:type="dxa"/>
            <w:vAlign w:val="bottom"/>
          </w:tcPr>
          <w:p>
            <w:pPr>
              <w:spacing w:after="0"/>
              <w:rPr>
                <w:sz w:val="9"/>
                <w:szCs w:val="9"/>
                <w:color w:val="auto"/>
              </w:rPr>
            </w:pPr>
          </w:p>
        </w:tc>
        <w:tc>
          <w:tcPr>
            <w:tcW w:w="980" w:type="dxa"/>
            <w:vAlign w:val="bottom"/>
          </w:tcPr>
          <w:p>
            <w:pPr>
              <w:jc w:val="right"/>
              <w:ind w:right="267"/>
              <w:spacing w:after="0" w:line="114" w:lineRule="exact"/>
              <w:rPr>
                <w:sz w:val="20"/>
                <w:szCs w:val="20"/>
                <w:color w:val="auto"/>
              </w:rPr>
            </w:pPr>
            <w:r>
              <w:rPr>
                <w:rFonts w:ascii="Arial" w:cs="Arial" w:eastAsia="Arial" w:hAnsi="Arial"/>
                <w:sz w:val="12"/>
                <w:szCs w:val="12"/>
                <w:color w:val="auto"/>
              </w:rPr>
              <w:t>October 2,</w:t>
            </w: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80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07"/>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87"/>
              <w:spacing w:after="0"/>
              <w:rPr>
                <w:sz w:val="20"/>
                <w:szCs w:val="20"/>
                <w:color w:val="auto"/>
              </w:rPr>
            </w:pPr>
            <w:r>
              <w:rPr>
                <w:rFonts w:ascii="Arial" w:cs="Arial" w:eastAsia="Arial" w:hAnsi="Arial"/>
                <w:sz w:val="12"/>
                <w:szCs w:val="12"/>
                <w:color w:val="auto"/>
              </w:rPr>
              <w:t>2011</w:t>
            </w:r>
          </w:p>
        </w:tc>
        <w:tc>
          <w:tcPr>
            <w:tcW w:w="1140" w:type="dxa"/>
            <w:vAlign w:val="bottom"/>
            <w:tcBorders>
              <w:bottom w:val="single" w:sz="8" w:color="auto"/>
            </w:tcBorders>
          </w:tcPr>
          <w:p>
            <w:pPr>
              <w:jc w:val="right"/>
              <w:ind w:right="266"/>
              <w:spacing w:after="0"/>
              <w:rPr>
                <w:sz w:val="20"/>
                <w:szCs w:val="20"/>
                <w:color w:val="auto"/>
              </w:rPr>
            </w:pPr>
            <w:r>
              <w:rPr>
                <w:rFonts w:ascii="Arial" w:cs="Arial" w:eastAsia="Arial" w:hAnsi="Arial"/>
                <w:sz w:val="12"/>
                <w:szCs w:val="12"/>
                <w:color w:val="auto"/>
              </w:rPr>
              <w:t>% Change</w:t>
            </w:r>
          </w:p>
        </w:tc>
        <w:tc>
          <w:tcPr>
            <w:tcW w:w="3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527"/>
              <w:spacing w:after="0"/>
              <w:rPr>
                <w:sz w:val="20"/>
                <w:szCs w:val="20"/>
                <w:color w:val="auto"/>
              </w:rPr>
            </w:pPr>
            <w:r>
              <w:rPr>
                <w:rFonts w:ascii="Arial" w:cs="Arial" w:eastAsia="Arial" w:hAnsi="Arial"/>
                <w:sz w:val="12"/>
                <w:szCs w:val="12"/>
                <w:b w:val="1"/>
                <w:bCs w:val="1"/>
                <w:color w:val="auto"/>
              </w:rPr>
              <w:t>2012</w:t>
            </w: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27"/>
              <w:spacing w:after="0"/>
              <w:rPr>
                <w:sz w:val="20"/>
                <w:szCs w:val="20"/>
                <w:color w:val="auto"/>
              </w:rPr>
            </w:pPr>
            <w:r>
              <w:rPr>
                <w:rFonts w:ascii="Arial" w:cs="Arial" w:eastAsia="Arial" w:hAnsi="Arial"/>
                <w:sz w:val="12"/>
                <w:szCs w:val="12"/>
                <w:color w:val="auto"/>
              </w:rPr>
              <w:t>2011</w:t>
            </w:r>
          </w:p>
        </w:tc>
        <w:tc>
          <w:tcPr>
            <w:tcW w:w="1000" w:type="dxa"/>
            <w:vAlign w:val="bottom"/>
            <w:tcBorders>
              <w:bottom w:val="single" w:sz="8" w:color="auto"/>
            </w:tcBorders>
          </w:tcPr>
          <w:p>
            <w:pPr>
              <w:jc w:val="right"/>
              <w:ind w:right="146"/>
              <w:spacing w:after="0"/>
              <w:rPr>
                <w:sz w:val="20"/>
                <w:szCs w:val="20"/>
                <w:color w:val="auto"/>
              </w:rPr>
            </w:pPr>
            <w:r>
              <w:rPr>
                <w:rFonts w:ascii="Arial" w:cs="Arial" w:eastAsia="Arial" w:hAnsi="Arial"/>
                <w:sz w:val="12"/>
                <w:szCs w:val="12"/>
                <w:color w:val="auto"/>
              </w:rPr>
              <w:t>% Change</w:t>
            </w:r>
          </w:p>
        </w:tc>
        <w:tc>
          <w:tcPr>
            <w:tcW w:w="0" w:type="dxa"/>
            <w:vAlign w:val="bottom"/>
          </w:tcPr>
          <w:p>
            <w:pPr>
              <w:spacing w:after="0"/>
              <w:rPr>
                <w:sz w:val="1"/>
                <w:szCs w:val="1"/>
                <w:color w:val="auto"/>
              </w:rPr>
            </w:pPr>
          </w:p>
        </w:tc>
      </w:tr>
      <w:tr>
        <w:trPr>
          <w:trHeight w:val="168"/>
        </w:trPr>
        <w:tc>
          <w:tcPr>
            <w:tcW w:w="3800" w:type="dxa"/>
            <w:vAlign w:val="bottom"/>
          </w:tcPr>
          <w:p>
            <w:pPr>
              <w:spacing w:after="0" w:line="168" w:lineRule="exact"/>
              <w:rPr>
                <w:sz w:val="20"/>
                <w:szCs w:val="20"/>
                <w:color w:val="auto"/>
              </w:rPr>
            </w:pPr>
            <w:r>
              <w:rPr>
                <w:rFonts w:ascii="Arial" w:cs="Arial" w:eastAsia="Arial" w:hAnsi="Arial"/>
                <w:sz w:val="15"/>
                <w:szCs w:val="15"/>
                <w:b w:val="1"/>
                <w:bCs w:val="1"/>
                <w:color w:val="auto"/>
              </w:rPr>
              <w:t>Revenue</w:t>
            </w: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273,703</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872,948</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330,856</w:t>
            </w:r>
          </w:p>
        </w:tc>
        <w:tc>
          <w:tcPr>
            <w:tcW w:w="1140" w:type="dxa"/>
            <w:vAlign w:val="bottom"/>
          </w:tcPr>
          <w:p>
            <w:pPr>
              <w:jc w:val="right"/>
              <w:ind w:right="426"/>
              <w:spacing w:after="0" w:line="156" w:lineRule="exact"/>
              <w:rPr>
                <w:sz w:val="20"/>
                <w:szCs w:val="20"/>
                <w:color w:val="auto"/>
              </w:rPr>
            </w:pPr>
            <w:r>
              <w:rPr>
                <w:rFonts w:ascii="Arial" w:cs="Arial" w:eastAsia="Arial" w:hAnsi="Arial"/>
                <w:sz w:val="15"/>
                <w:szCs w:val="15"/>
                <w:color w:val="auto"/>
              </w:rPr>
              <w:t>(17)</w:t>
            </w:r>
          </w:p>
        </w:tc>
        <w:tc>
          <w:tcPr>
            <w:tcW w:w="3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1,076,051</w:t>
            </w:r>
          </w:p>
        </w:tc>
        <w:tc>
          <w:tcPr>
            <w:tcW w:w="1000" w:type="dxa"/>
            <w:vAlign w:val="bottom"/>
          </w:tcPr>
          <w:p>
            <w:pPr>
              <w:jc w:val="right"/>
              <w:ind w:right="286"/>
              <w:spacing w:after="0" w:line="156" w:lineRule="exact"/>
              <w:rPr>
                <w:sz w:val="20"/>
                <w:szCs w:val="20"/>
                <w:color w:val="auto"/>
              </w:rPr>
            </w:pPr>
            <w:r>
              <w:rPr>
                <w:rFonts w:ascii="Arial" w:cs="Arial" w:eastAsia="Arial" w:hAnsi="Arial"/>
                <w:sz w:val="15"/>
                <w:szCs w:val="15"/>
                <w:color w:val="auto"/>
              </w:rPr>
              <w:t>(19)</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81,151</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79,630</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2</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223,767</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236,192</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197,858</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192,609</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3</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555,899</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513,760</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998</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1,293</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(23)</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3,158</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3,475</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190"/>
        </w:trPr>
        <w:tc>
          <w:tcPr>
            <w:tcW w:w="380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(1,125)</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(2,777)</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(3,705)</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(5,782)</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36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552,585</w:t>
            </w:r>
          </w:p>
        </w:tc>
        <w:tc>
          <w:tcPr>
            <w:tcW w:w="3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601,611</w:t>
            </w:r>
          </w:p>
        </w:tc>
        <w:tc>
          <w:tcPr>
            <w:tcW w:w="1140" w:type="dxa"/>
            <w:vAlign w:val="bottom"/>
          </w:tcPr>
          <w:p>
            <w:pPr>
              <w:jc w:val="right"/>
              <w:ind w:right="426"/>
              <w:spacing w:after="0" w:line="167" w:lineRule="exact"/>
              <w:rPr>
                <w:sz w:val="20"/>
                <w:szCs w:val="20"/>
                <w:color w:val="auto"/>
              </w:rPr>
            </w:pPr>
            <w:r>
              <w:rPr>
                <w:rFonts w:ascii="Arial" w:cs="Arial" w:eastAsia="Arial" w:hAnsi="Arial"/>
                <w:sz w:val="15"/>
                <w:szCs w:val="15"/>
                <w:color w:val="auto"/>
              </w:rPr>
              <w:t>(8)</w:t>
            </w:r>
          </w:p>
        </w:tc>
        <w:tc>
          <w:tcPr>
            <w:tcW w:w="34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1,652,067</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1,823,696</w:t>
            </w:r>
          </w:p>
        </w:tc>
        <w:tc>
          <w:tcPr>
            <w:tcW w:w="1000" w:type="dxa"/>
            <w:vAlign w:val="bottom"/>
          </w:tcPr>
          <w:p>
            <w:pPr>
              <w:jc w:val="right"/>
              <w:ind w:right="286"/>
              <w:spacing w:after="0" w:line="167" w:lineRule="exact"/>
              <w:rPr>
                <w:sz w:val="20"/>
                <w:szCs w:val="20"/>
                <w:color w:val="auto"/>
              </w:rPr>
            </w:pP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5"/>
                <w:szCs w:val="15"/>
                <w:b w:val="1"/>
                <w:bCs w:val="1"/>
                <w:color w:val="auto"/>
              </w:rPr>
              <w:t>Operating Income (Loss)</w:t>
            </w: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3800" w:type="dxa"/>
            <w:vAlign w:val="bottom"/>
            <w:vMerge w:val="continue"/>
          </w:tcPr>
          <w:p>
            <w:pPr>
              <w:spacing w:after="0"/>
              <w:rPr>
                <w:sz w:val="13"/>
                <w:szCs w:val="13"/>
                <w:color w:val="auto"/>
              </w:rPr>
            </w:pPr>
          </w:p>
        </w:tc>
        <w:tc>
          <w:tcPr>
            <w:tcW w:w="36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80" w:type="dxa"/>
            <w:vAlign w:val="bottom"/>
            <w:vMerge w:val="restart"/>
          </w:tcPr>
          <w:p>
            <w:pPr>
              <w:jc w:val="right"/>
              <w:ind w:right="147"/>
              <w:spacing w:after="0"/>
              <w:rPr>
                <w:sz w:val="20"/>
                <w:szCs w:val="20"/>
                <w:color w:val="auto"/>
              </w:rPr>
            </w:pPr>
            <w:r>
              <w:rPr>
                <w:rFonts w:ascii="Arial" w:cs="Arial" w:eastAsia="Arial" w:hAnsi="Arial"/>
                <w:sz w:val="15"/>
                <w:szCs w:val="15"/>
                <w:b w:val="1"/>
                <w:bCs w:val="1"/>
                <w:color w:val="auto"/>
              </w:rPr>
              <w:t>1,510</w:t>
            </w:r>
          </w:p>
        </w:tc>
        <w:tc>
          <w:tcPr>
            <w:tcW w:w="3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vMerge w:val="restart"/>
          </w:tcPr>
          <w:p>
            <w:pPr>
              <w:jc w:val="right"/>
              <w:ind w:right="48"/>
              <w:spacing w:after="0"/>
              <w:rPr>
                <w:sz w:val="20"/>
                <w:szCs w:val="20"/>
                <w:color w:val="auto"/>
              </w:rPr>
            </w:pPr>
            <w:r>
              <w:rPr>
                <w:rFonts w:ascii="Arial" w:cs="Arial" w:eastAsia="Arial" w:hAnsi="Arial"/>
                <w:sz w:val="15"/>
                <w:szCs w:val="15"/>
                <w:b w:val="1"/>
                <w:bCs w:val="1"/>
                <w:color w:val="auto"/>
              </w:rPr>
              <w:t>$</w:t>
            </w:r>
          </w:p>
        </w:tc>
        <w:tc>
          <w:tcPr>
            <w:tcW w:w="1000" w:type="dxa"/>
            <w:vAlign w:val="bottom"/>
            <w:vMerge w:val="restart"/>
          </w:tcPr>
          <w:p>
            <w:pPr>
              <w:jc w:val="right"/>
              <w:ind w:right="67"/>
              <w:spacing w:after="0"/>
              <w:rPr>
                <w:sz w:val="20"/>
                <w:szCs w:val="20"/>
                <w:color w:val="auto"/>
              </w:rPr>
            </w:pPr>
            <w:r>
              <w:rPr>
                <w:rFonts w:ascii="Arial" w:cs="Arial" w:eastAsia="Arial" w:hAnsi="Arial"/>
                <w:sz w:val="15"/>
                <w:szCs w:val="15"/>
                <w:b w:val="1"/>
                <w:bCs w:val="1"/>
                <w:color w:val="auto"/>
              </w:rPr>
              <w:t>16,329</w:t>
            </w: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00" w:type="dxa"/>
            <w:vAlign w:val="bottom"/>
          </w:tcPr>
          <w:p>
            <w:pPr>
              <w:ind w:left="240"/>
              <w:spacing w:after="0" w:line="156" w:lineRule="exact"/>
              <w:rPr>
                <w:sz w:val="20"/>
                <w:szCs w:val="20"/>
                <w:color w:val="auto"/>
              </w:rPr>
            </w:pPr>
            <w:r>
              <w:rPr>
                <w:rFonts w:ascii="Arial" w:cs="Arial" w:eastAsia="Arial" w:hAnsi="Arial"/>
                <w:sz w:val="15"/>
                <w:szCs w:val="15"/>
                <w:color w:val="auto"/>
              </w:rPr>
              <w:t>Higher education</w:t>
            </w:r>
          </w:p>
        </w:tc>
        <w:tc>
          <w:tcPr>
            <w:tcW w:w="36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380" w:type="dxa"/>
            <w:vAlign w:val="bottom"/>
          </w:tcPr>
          <w:p>
            <w:pPr>
              <w:jc w:val="right"/>
              <w:ind w:right="6"/>
              <w:spacing w:after="0" w:line="156" w:lineRule="exact"/>
              <w:rPr>
                <w:sz w:val="20"/>
                <w:szCs w:val="20"/>
                <w:color w:val="auto"/>
              </w:rPr>
            </w:pPr>
            <w:r>
              <w:rPr>
                <w:rFonts w:ascii="Arial" w:cs="Arial" w:eastAsia="Arial" w:hAnsi="Arial"/>
                <w:sz w:val="15"/>
                <w:szCs w:val="15"/>
                <w:color w:val="auto"/>
              </w:rPr>
              <w:t>$</w:t>
            </w:r>
          </w:p>
        </w:tc>
        <w:tc>
          <w:tcPr>
            <w:tcW w:w="1060" w:type="dxa"/>
            <w:vAlign w:val="bottom"/>
          </w:tcPr>
          <w:p>
            <w:pPr>
              <w:jc w:val="right"/>
              <w:spacing w:after="0" w:line="156" w:lineRule="exact"/>
              <w:rPr>
                <w:sz w:val="20"/>
                <w:szCs w:val="20"/>
                <w:color w:val="auto"/>
              </w:rPr>
            </w:pPr>
            <w:r>
              <w:rPr>
                <w:rFonts w:ascii="Arial" w:cs="Arial" w:eastAsia="Arial" w:hAnsi="Arial"/>
                <w:sz w:val="15"/>
                <w:szCs w:val="15"/>
                <w:color w:val="auto"/>
              </w:rPr>
              <w:t>25,083</w:t>
            </w:r>
          </w:p>
        </w:tc>
        <w:tc>
          <w:tcPr>
            <w:tcW w:w="1140" w:type="dxa"/>
            <w:vAlign w:val="bottom"/>
          </w:tcPr>
          <w:p>
            <w:pPr>
              <w:jc w:val="right"/>
              <w:ind w:right="426"/>
              <w:spacing w:after="0" w:line="156" w:lineRule="exact"/>
              <w:rPr>
                <w:sz w:val="20"/>
                <w:szCs w:val="20"/>
                <w:color w:val="auto"/>
              </w:rPr>
            </w:pPr>
            <w:r>
              <w:rPr>
                <w:rFonts w:ascii="Arial" w:cs="Arial" w:eastAsia="Arial" w:hAnsi="Arial"/>
                <w:sz w:val="15"/>
                <w:szCs w:val="15"/>
                <w:color w:val="auto"/>
              </w:rPr>
              <w:t>(94)</w:t>
            </w:r>
          </w:p>
        </w:tc>
        <w:tc>
          <w:tcPr>
            <w:tcW w:w="34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5"/>
                <w:szCs w:val="15"/>
                <w:color w:val="auto"/>
              </w:rPr>
              <w:t>$</w:t>
            </w:r>
          </w:p>
        </w:tc>
        <w:tc>
          <w:tcPr>
            <w:tcW w:w="980" w:type="dxa"/>
            <w:vAlign w:val="bottom"/>
          </w:tcPr>
          <w:p>
            <w:pPr>
              <w:jc w:val="right"/>
              <w:spacing w:after="0" w:line="156" w:lineRule="exact"/>
              <w:rPr>
                <w:sz w:val="20"/>
                <w:szCs w:val="20"/>
                <w:color w:val="auto"/>
              </w:rPr>
            </w:pPr>
            <w:r>
              <w:rPr>
                <w:rFonts w:ascii="Arial" w:cs="Arial" w:eastAsia="Arial" w:hAnsi="Arial"/>
                <w:sz w:val="15"/>
                <w:szCs w:val="15"/>
                <w:color w:val="auto"/>
              </w:rPr>
              <w:t>120,890</w:t>
            </w:r>
          </w:p>
        </w:tc>
        <w:tc>
          <w:tcPr>
            <w:tcW w:w="1000" w:type="dxa"/>
            <w:vAlign w:val="bottom"/>
          </w:tcPr>
          <w:p>
            <w:pPr>
              <w:jc w:val="right"/>
              <w:ind w:right="286"/>
              <w:spacing w:after="0" w:line="156" w:lineRule="exact"/>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Test preparation</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3,446</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(4,745)</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(4,067)</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(29,018)</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86</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Kaplan international</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20,619</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10,775</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91</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33,336</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18,735</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78</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Kaplan corporate</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(6,617)</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(3,657)</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(81)</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(28,143)</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(28,898)</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74"/>
        </w:trPr>
        <w:tc>
          <w:tcPr>
            <w:tcW w:w="3800" w:type="dxa"/>
            <w:vAlign w:val="bottom"/>
          </w:tcPr>
          <w:p>
            <w:pPr>
              <w:ind w:left="240"/>
              <w:spacing w:after="0"/>
              <w:rPr>
                <w:sz w:val="20"/>
                <w:szCs w:val="20"/>
                <w:color w:val="auto"/>
              </w:rPr>
            </w:pPr>
            <w:r>
              <w:rPr>
                <w:rFonts w:ascii="Arial" w:cs="Arial" w:eastAsia="Arial" w:hAnsi="Arial"/>
                <w:sz w:val="15"/>
                <w:szCs w:val="15"/>
                <w:color w:val="auto"/>
              </w:rPr>
              <w:t>Amortization of intangible assets</w:t>
            </w:r>
          </w:p>
        </w:tc>
        <w:tc>
          <w:tcPr>
            <w:tcW w:w="360" w:type="dxa"/>
            <w:vAlign w:val="bottom"/>
          </w:tcPr>
          <w:p>
            <w:pPr>
              <w:spacing w:after="0"/>
              <w:rPr>
                <w:sz w:val="15"/>
                <w:szCs w:val="15"/>
                <w:color w:val="auto"/>
              </w:rPr>
            </w:pPr>
          </w:p>
        </w:tc>
        <w:tc>
          <w:tcPr>
            <w:tcW w:w="1080" w:type="dxa"/>
            <w:vAlign w:val="bottom"/>
          </w:tcPr>
          <w:p>
            <w:pPr>
              <w:jc w:val="right"/>
              <w:ind w:right="147"/>
              <w:spacing w:after="0"/>
              <w:rPr>
                <w:sz w:val="20"/>
                <w:szCs w:val="20"/>
                <w:color w:val="auto"/>
              </w:rPr>
            </w:pPr>
            <w:r>
              <w:rPr>
                <w:rFonts w:ascii="Arial" w:cs="Arial" w:eastAsia="Arial" w:hAnsi="Arial"/>
                <w:sz w:val="15"/>
                <w:szCs w:val="15"/>
                <w:b w:val="1"/>
                <w:bCs w:val="1"/>
                <w:color w:val="auto"/>
              </w:rPr>
              <w:t>(4,489)</w:t>
            </w:r>
          </w:p>
        </w:tc>
        <w:tc>
          <w:tcPr>
            <w:tcW w:w="3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(5,568)</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19</w:t>
            </w:r>
          </w:p>
        </w:tc>
        <w:tc>
          <w:tcPr>
            <w:tcW w:w="340" w:type="dxa"/>
            <w:vAlign w:val="bottom"/>
          </w:tcPr>
          <w:p>
            <w:pPr>
              <w:spacing w:after="0"/>
              <w:rPr>
                <w:sz w:val="15"/>
                <w:szCs w:val="15"/>
                <w:color w:val="auto"/>
              </w:rPr>
            </w:pPr>
          </w:p>
        </w:tc>
        <w:tc>
          <w:tcPr>
            <w:tcW w:w="1000" w:type="dxa"/>
            <w:vAlign w:val="bottom"/>
          </w:tcPr>
          <w:p>
            <w:pPr>
              <w:jc w:val="right"/>
              <w:ind w:right="67"/>
              <w:spacing w:after="0"/>
              <w:rPr>
                <w:sz w:val="20"/>
                <w:szCs w:val="20"/>
                <w:color w:val="auto"/>
              </w:rPr>
            </w:pPr>
            <w:r>
              <w:rPr>
                <w:rFonts w:ascii="Arial" w:cs="Arial" w:eastAsia="Arial" w:hAnsi="Arial"/>
                <w:sz w:val="15"/>
                <w:szCs w:val="15"/>
                <w:b w:val="1"/>
                <w:bCs w:val="1"/>
                <w:color w:val="auto"/>
              </w:rPr>
              <w:t>(11,528)</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(15,023)</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90"/>
        </w:trPr>
        <w:tc>
          <w:tcPr>
            <w:tcW w:w="3800" w:type="dxa"/>
            <w:vAlign w:val="bottom"/>
          </w:tcPr>
          <w:p>
            <w:pPr>
              <w:ind w:left="240"/>
              <w:spacing w:after="0"/>
              <w:rPr>
                <w:sz w:val="20"/>
                <w:szCs w:val="20"/>
                <w:color w:val="auto"/>
              </w:rPr>
            </w:pPr>
            <w:r>
              <w:rPr>
                <w:rFonts w:ascii="Arial" w:cs="Arial" w:eastAsia="Arial" w:hAnsi="Arial"/>
                <w:sz w:val="15"/>
                <w:szCs w:val="15"/>
                <w:color w:val="auto"/>
              </w:rPr>
              <w:t>Intersegment elimination</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b w:val="1"/>
                <w:bCs w:val="1"/>
                <w:color w:val="auto"/>
              </w:rPr>
              <w:t>224</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(1,080)</w:t>
            </w:r>
          </w:p>
        </w:tc>
        <w:tc>
          <w:tcPr>
            <w:tcW w:w="1140" w:type="dxa"/>
            <w:vAlign w:val="bottom"/>
          </w:tcPr>
          <w:p>
            <w:pPr>
              <w:jc w:val="right"/>
              <w:ind w:right="426"/>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rPr>
              <w:t>579</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(1,293)</w:t>
            </w:r>
          </w:p>
        </w:tc>
        <w:tc>
          <w:tcPr>
            <w:tcW w:w="1000" w:type="dxa"/>
            <w:vAlign w:val="bottom"/>
          </w:tcPr>
          <w:p>
            <w:pPr>
              <w:jc w:val="right"/>
              <w:ind w:right="28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36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47"/>
              <w:spacing w:after="0" w:line="167" w:lineRule="exact"/>
              <w:rPr>
                <w:sz w:val="20"/>
                <w:szCs w:val="20"/>
                <w:color w:val="auto"/>
              </w:rPr>
            </w:pPr>
            <w:r>
              <w:rPr>
                <w:rFonts w:ascii="Arial" w:cs="Arial" w:eastAsia="Arial" w:hAnsi="Arial"/>
                <w:sz w:val="15"/>
                <w:szCs w:val="15"/>
                <w:b w:val="1"/>
                <w:bCs w:val="1"/>
                <w:color w:val="auto"/>
              </w:rPr>
              <w:t>14,693</w:t>
            </w:r>
          </w:p>
        </w:tc>
        <w:tc>
          <w:tcPr>
            <w:tcW w:w="380" w:type="dxa"/>
            <w:vAlign w:val="bottom"/>
            <w:tcBorders>
              <w:bottom w:val="single" w:sz="8" w:color="auto"/>
            </w:tcBorders>
          </w:tcPr>
          <w:p>
            <w:pPr>
              <w:jc w:val="right"/>
              <w:ind w:right="6"/>
              <w:spacing w:after="0" w:line="167" w:lineRule="exact"/>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20,808</w:t>
            </w:r>
          </w:p>
        </w:tc>
        <w:tc>
          <w:tcPr>
            <w:tcW w:w="1140" w:type="dxa"/>
            <w:vAlign w:val="bottom"/>
          </w:tcPr>
          <w:p>
            <w:pPr>
              <w:jc w:val="right"/>
              <w:ind w:right="426"/>
              <w:spacing w:after="0" w:line="167" w:lineRule="exact"/>
              <w:rPr>
                <w:sz w:val="20"/>
                <w:szCs w:val="20"/>
                <w:color w:val="auto"/>
              </w:rPr>
            </w:pPr>
            <w:r>
              <w:rPr>
                <w:rFonts w:ascii="Arial" w:cs="Arial" w:eastAsia="Arial" w:hAnsi="Arial"/>
                <w:sz w:val="15"/>
                <w:szCs w:val="15"/>
                <w:color w:val="auto"/>
              </w:rPr>
              <w:t>(29)</w:t>
            </w:r>
          </w:p>
        </w:tc>
        <w:tc>
          <w:tcPr>
            <w:tcW w:w="340" w:type="dxa"/>
            <w:vAlign w:val="bottom"/>
            <w:tcBorders>
              <w:bottom w:val="single" w:sz="8" w:color="auto"/>
            </w:tcBorders>
          </w:tcPr>
          <w:p>
            <w:pPr>
              <w:jc w:val="right"/>
              <w:ind w:right="48"/>
              <w:spacing w:after="0" w:line="167" w:lineRule="exact"/>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67"/>
              <w:spacing w:after="0" w:line="167" w:lineRule="exact"/>
              <w:rPr>
                <w:sz w:val="20"/>
                <w:szCs w:val="20"/>
                <w:color w:val="auto"/>
              </w:rPr>
            </w:pPr>
            <w:r>
              <w:rPr>
                <w:rFonts w:ascii="Arial" w:cs="Arial" w:eastAsia="Arial" w:hAnsi="Arial"/>
                <w:sz w:val="15"/>
                <w:szCs w:val="15"/>
                <w:b w:val="1"/>
                <w:bCs w:val="1"/>
                <w:color w:val="auto"/>
              </w:rPr>
              <w:t>6,506</w:t>
            </w:r>
          </w:p>
        </w:tc>
        <w:tc>
          <w:tcPr>
            <w:tcW w:w="2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65,393</w:t>
            </w:r>
          </w:p>
        </w:tc>
        <w:tc>
          <w:tcPr>
            <w:tcW w:w="1000" w:type="dxa"/>
            <w:vAlign w:val="bottom"/>
          </w:tcPr>
          <w:p>
            <w:pPr>
              <w:jc w:val="right"/>
              <w:ind w:right="286"/>
              <w:spacing w:after="0" w:line="167" w:lineRule="exact"/>
              <w:rPr>
                <w:sz w:val="20"/>
                <w:szCs w:val="20"/>
                <w:color w:val="auto"/>
              </w:rPr>
            </w:pPr>
            <w:r>
              <w:rPr>
                <w:rFonts w:ascii="Arial" w:cs="Arial" w:eastAsia="Arial" w:hAnsi="Arial"/>
                <w:sz w:val="15"/>
                <w:szCs w:val="15"/>
                <w:color w:val="auto"/>
              </w:rPr>
              <w:t>(90)</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26" w:name="page27"/>
    <w:bookmarkEnd w:id="26"/>
    <w:p>
      <w:pPr>
        <w:ind w:right="200"/>
        <w:spacing w:after="0" w:line="235"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Consequently, the education division’s operating results exclude these businesses.</w:t>
      </w:r>
    </w:p>
    <w:p>
      <w:pPr>
        <w:spacing w:after="0" w:line="176"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Kaplan Higher Education (KHE) includes Kaplan’s domestic postsecondary education businesses, made up of fixed-facility colleges and online postsecondary and career programs. KHE also includes the domestic professional training and other continuing education businesses. In the third quarter and first nine months of 2012, higher education revenue declined 17% and 19%, respectively, due largely to declines in average enrollments that reflect weaker market demand over the past year. Operating income decreased 94% and 86% for the third quarter and first nine months of 2012, respectively. These declines were due primarily to lower revenue, offset by expense reductions associated with lower enrollments and recent restructuring efforts.</w:t>
      </w:r>
    </w:p>
    <w:p>
      <w:pPr>
        <w:spacing w:after="0" w:line="170"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In September 2012, KHE finalized a plan to consolidate its market presence at certain of its fixed-facility campuses. Under this plan, KHE has ceased new enrollments at nine ground campuses as it considers alternatives for these locations, and is in the process of consolidating operations of four other campuses into existing, nearby locations. KHE will be teaching out the current students at these campuses. Revenues at these campuses represent approximately 4% of KHE’s total revenues. In connection with the plan, KHE expects to incur an estimated $18 million in restructuring costs from fixed asset write-downs and lease and severance obligations; $2.1 million of these restructuring costs were recorded in the third quarter of 2012, with the remainder to be recorded in the fourth quarter of 2012 and in 2013. In the third quarter and first nine months of 2012, KHE incurred $2.7 million and $6.5 million in total severance and restructuring costs, respectively, compared to $ 1.6 million and $7.1 million in the third quarter and first nine months 2011, respectively. KHE continues to assess and develop plans for both its fixed-facility and online programs and expects to incur significant additional restructuring costs in the fourth quarter of 2012 and in 2013.</w:t>
      </w:r>
    </w:p>
    <w:p>
      <w:pPr>
        <w:spacing w:after="0" w:line="176"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Although revenues were down substantially compared to the first nine months of 2011, new student enrollments at Kaplan University and KHE Campuses increased 5% in the first nine months of 2012. For the third quarter of 2012, new student enrollments increased 9%. Total enrollments at September 30, 2012, were down 8% compared to September 30, 2011, but increased 8% compared to June 30, 2012.</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00" w:type="dxa"/>
            <w:vAlign w:val="bottom"/>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rPr>
              <w:t>Student Enrollments as of</w:t>
            </w:r>
          </w:p>
        </w:tc>
        <w:tc>
          <w:tcPr>
            <w:tcW w:w="1180" w:type="dxa"/>
            <w:vAlign w:val="bottom"/>
            <w:tcBorders>
              <w:bottom w:val="single" w:sz="8" w:color="auto"/>
            </w:tcBorders>
          </w:tcPr>
          <w:p>
            <w:pPr>
              <w:spacing w:after="0"/>
              <w:rPr>
                <w:sz w:val="13"/>
                <w:szCs w:val="13"/>
                <w:color w:val="auto"/>
              </w:rPr>
            </w:pPr>
          </w:p>
        </w:tc>
      </w:tr>
      <w:tr>
        <w:trPr>
          <w:trHeight w:val="114"/>
        </w:trPr>
        <w:tc>
          <w:tcPr>
            <w:tcW w:w="7200" w:type="dxa"/>
            <w:vAlign w:val="bottom"/>
          </w:tcPr>
          <w:p>
            <w:pPr>
              <w:spacing w:after="0"/>
              <w:rPr>
                <w:sz w:val="9"/>
                <w:szCs w:val="9"/>
                <w:color w:val="auto"/>
              </w:rPr>
            </w:pPr>
          </w:p>
        </w:tc>
        <w:tc>
          <w:tcPr>
            <w:tcW w:w="1300" w:type="dxa"/>
            <w:vAlign w:val="bottom"/>
          </w:tcPr>
          <w:p>
            <w:pPr>
              <w:jc w:val="right"/>
              <w:ind w:right="171"/>
              <w:spacing w:after="0" w:line="114" w:lineRule="exact"/>
              <w:rPr>
                <w:sz w:val="20"/>
                <w:szCs w:val="20"/>
                <w:color w:val="auto"/>
              </w:rPr>
            </w:pPr>
            <w:r>
              <w:rPr>
                <w:rFonts w:ascii="Arial" w:cs="Arial" w:eastAsia="Arial" w:hAnsi="Arial"/>
                <w:sz w:val="12"/>
                <w:szCs w:val="12"/>
                <w:b w:val="1"/>
                <w:bCs w:val="1"/>
                <w:color w:val="auto"/>
              </w:rPr>
              <w:t>September 30,</w:t>
            </w:r>
          </w:p>
        </w:tc>
        <w:tc>
          <w:tcPr>
            <w:tcW w:w="1740" w:type="dxa"/>
            <w:vAlign w:val="bottom"/>
          </w:tcPr>
          <w:p>
            <w:pPr>
              <w:jc w:val="center"/>
              <w:ind w:right="32"/>
              <w:spacing w:after="0" w:line="114" w:lineRule="exact"/>
              <w:rPr>
                <w:sz w:val="20"/>
                <w:szCs w:val="20"/>
                <w:color w:val="auto"/>
              </w:rPr>
            </w:pPr>
            <w:r>
              <w:rPr>
                <w:rFonts w:ascii="Arial" w:cs="Arial" w:eastAsia="Arial" w:hAnsi="Arial"/>
                <w:sz w:val="12"/>
                <w:szCs w:val="12"/>
                <w:color w:val="auto"/>
              </w:rPr>
              <w:t>June 30,</w:t>
            </w:r>
          </w:p>
        </w:tc>
        <w:tc>
          <w:tcPr>
            <w:tcW w:w="1180" w:type="dxa"/>
            <w:vAlign w:val="bottom"/>
          </w:tcPr>
          <w:p>
            <w:pPr>
              <w:jc w:val="right"/>
              <w:ind w:right="151"/>
              <w:spacing w:after="0" w:line="114" w:lineRule="exact"/>
              <w:rPr>
                <w:sz w:val="20"/>
                <w:szCs w:val="20"/>
                <w:color w:val="auto"/>
              </w:rPr>
            </w:pPr>
            <w:r>
              <w:rPr>
                <w:rFonts w:ascii="Arial" w:cs="Arial" w:eastAsia="Arial" w:hAnsi="Arial"/>
                <w:sz w:val="12"/>
                <w:szCs w:val="12"/>
                <w:color w:val="auto"/>
              </w:rPr>
              <w:t>September 30,</w:t>
            </w:r>
          </w:p>
        </w:tc>
      </w:tr>
      <w:tr>
        <w:trPr>
          <w:trHeight w:val="151"/>
        </w:trPr>
        <w:tc>
          <w:tcPr>
            <w:tcW w:w="72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71"/>
              <w:spacing w:after="0"/>
              <w:rPr>
                <w:sz w:val="20"/>
                <w:szCs w:val="20"/>
                <w:color w:val="auto"/>
              </w:rPr>
            </w:pPr>
            <w:r>
              <w:rPr>
                <w:rFonts w:ascii="Arial" w:cs="Arial" w:eastAsia="Arial" w:hAnsi="Arial"/>
                <w:sz w:val="12"/>
                <w:szCs w:val="12"/>
                <w:b w:val="1"/>
                <w:bCs w:val="1"/>
                <w:color w:val="auto"/>
              </w:rPr>
              <w:t>2012</w:t>
            </w:r>
          </w:p>
        </w:tc>
        <w:tc>
          <w:tcPr>
            <w:tcW w:w="174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color w:val="auto"/>
                <w:w w:val="97"/>
              </w:rPr>
              <w:t>2012</w:t>
            </w:r>
          </w:p>
        </w:tc>
        <w:tc>
          <w:tcPr>
            <w:tcW w:w="1180" w:type="dxa"/>
            <w:vAlign w:val="bottom"/>
            <w:tcBorders>
              <w:bottom w:val="single" w:sz="8" w:color="auto"/>
            </w:tcBorders>
          </w:tcPr>
          <w:p>
            <w:pPr>
              <w:jc w:val="right"/>
              <w:ind w:right="431"/>
              <w:spacing w:after="0"/>
              <w:rPr>
                <w:sz w:val="20"/>
                <w:szCs w:val="20"/>
                <w:color w:val="auto"/>
              </w:rPr>
            </w:pPr>
            <w:r>
              <w:rPr>
                <w:rFonts w:ascii="Arial" w:cs="Arial" w:eastAsia="Arial" w:hAnsi="Arial"/>
                <w:sz w:val="12"/>
                <w:szCs w:val="12"/>
                <w:color w:val="auto"/>
              </w:rPr>
              <w:t>2011</w:t>
            </w:r>
          </w:p>
        </w:tc>
      </w:tr>
      <w:tr>
        <w:trPr>
          <w:trHeight w:val="150"/>
        </w:trPr>
        <w:tc>
          <w:tcPr>
            <w:tcW w:w="7200" w:type="dxa"/>
            <w:vAlign w:val="bottom"/>
          </w:tcPr>
          <w:p>
            <w:pPr>
              <w:spacing w:after="0" w:line="150" w:lineRule="exact"/>
              <w:rPr>
                <w:sz w:val="20"/>
                <w:szCs w:val="20"/>
                <w:color w:val="auto"/>
              </w:rPr>
            </w:pPr>
            <w:r>
              <w:rPr>
                <w:rFonts w:ascii="Arial" w:cs="Arial" w:eastAsia="Arial" w:hAnsi="Arial"/>
                <w:sz w:val="15"/>
                <w:szCs w:val="15"/>
                <w:color w:val="auto"/>
              </w:rPr>
              <w:t>Kaplan University</w:t>
            </w:r>
          </w:p>
        </w:tc>
        <w:tc>
          <w:tcPr>
            <w:tcW w:w="130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49,132</w:t>
            </w:r>
          </w:p>
        </w:tc>
        <w:tc>
          <w:tcPr>
            <w:tcW w:w="1740" w:type="dxa"/>
            <w:vAlign w:val="bottom"/>
          </w:tcPr>
          <w:p>
            <w:pPr>
              <w:jc w:val="right"/>
              <w:ind w:right="252"/>
              <w:spacing w:after="0" w:line="150" w:lineRule="exact"/>
              <w:rPr>
                <w:sz w:val="20"/>
                <w:szCs w:val="20"/>
                <w:color w:val="auto"/>
              </w:rPr>
            </w:pPr>
            <w:r>
              <w:rPr>
                <w:rFonts w:ascii="Arial" w:cs="Arial" w:eastAsia="Arial" w:hAnsi="Arial"/>
                <w:sz w:val="15"/>
                <w:szCs w:val="15"/>
                <w:color w:val="auto"/>
              </w:rPr>
              <w:t>44,756</w:t>
            </w:r>
          </w:p>
        </w:tc>
        <w:tc>
          <w:tcPr>
            <w:tcW w:w="1180" w:type="dxa"/>
            <w:vAlign w:val="bottom"/>
          </w:tcPr>
          <w:p>
            <w:pPr>
              <w:jc w:val="right"/>
              <w:spacing w:after="0" w:line="150" w:lineRule="exact"/>
              <w:rPr>
                <w:sz w:val="20"/>
                <w:szCs w:val="20"/>
                <w:color w:val="auto"/>
              </w:rPr>
            </w:pPr>
            <w:r>
              <w:rPr>
                <w:rFonts w:ascii="Arial" w:cs="Arial" w:eastAsia="Arial" w:hAnsi="Arial"/>
                <w:sz w:val="15"/>
                <w:szCs w:val="15"/>
                <w:color w:val="auto"/>
              </w:rPr>
              <w:t>53,473</w:t>
            </w:r>
          </w:p>
        </w:tc>
      </w:tr>
      <w:tr>
        <w:trPr>
          <w:trHeight w:val="190"/>
        </w:trPr>
        <w:tc>
          <w:tcPr>
            <w:tcW w:w="7200" w:type="dxa"/>
            <w:vAlign w:val="bottom"/>
          </w:tcPr>
          <w:p>
            <w:pPr>
              <w:spacing w:after="0"/>
              <w:rPr>
                <w:sz w:val="20"/>
                <w:szCs w:val="20"/>
                <w:color w:val="auto"/>
              </w:rPr>
            </w:pPr>
            <w:r>
              <w:rPr>
                <w:rFonts w:ascii="Arial" w:cs="Arial" w:eastAsia="Arial" w:hAnsi="Arial"/>
                <w:sz w:val="15"/>
                <w:szCs w:val="15"/>
                <w:color w:val="auto"/>
              </w:rPr>
              <w:t>KHE Campuses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24,129</w:t>
            </w:r>
          </w:p>
        </w:tc>
        <w:tc>
          <w:tcPr>
            <w:tcW w:w="1740" w:type="dxa"/>
            <w:vAlign w:val="bottom"/>
            <w:tcBorders>
              <w:bottom w:val="single" w:sz="8" w:color="auto"/>
            </w:tcBorders>
          </w:tcPr>
          <w:p>
            <w:pPr>
              <w:jc w:val="right"/>
              <w:ind w:right="252"/>
              <w:spacing w:after="0"/>
              <w:rPr>
                <w:sz w:val="20"/>
                <w:szCs w:val="20"/>
                <w:color w:val="auto"/>
              </w:rPr>
            </w:pPr>
            <w:r>
              <w:rPr>
                <w:rFonts w:ascii="Arial" w:cs="Arial" w:eastAsia="Arial" w:hAnsi="Arial"/>
                <w:sz w:val="15"/>
                <w:szCs w:val="15"/>
                <w:color w:val="auto"/>
              </w:rPr>
              <w:t>22,849</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26,184</w:t>
            </w:r>
          </w:p>
        </w:tc>
      </w:tr>
      <w:tr>
        <w:trPr>
          <w:trHeight w:val="166"/>
        </w:trPr>
        <w:tc>
          <w:tcPr>
            <w:tcW w:w="7200" w:type="dxa"/>
            <w:vAlign w:val="bottom"/>
          </w:tcPr>
          <w:p>
            <w:pPr>
              <w:spacing w:after="0"/>
              <w:rPr>
                <w:sz w:val="14"/>
                <w:szCs w:val="14"/>
                <w:color w:val="auto"/>
              </w:rPr>
            </w:pPr>
          </w:p>
        </w:tc>
        <w:tc>
          <w:tcPr>
            <w:tcW w:w="130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73,261</w:t>
            </w:r>
          </w:p>
        </w:tc>
        <w:tc>
          <w:tcPr>
            <w:tcW w:w="1740" w:type="dxa"/>
            <w:vAlign w:val="bottom"/>
            <w:tcBorders>
              <w:bottom w:val="single" w:sz="8" w:color="auto"/>
            </w:tcBorders>
          </w:tcPr>
          <w:p>
            <w:pPr>
              <w:jc w:val="right"/>
              <w:ind w:right="252"/>
              <w:spacing w:after="0" w:line="167" w:lineRule="exact"/>
              <w:rPr>
                <w:sz w:val="20"/>
                <w:szCs w:val="20"/>
                <w:color w:val="auto"/>
              </w:rPr>
            </w:pPr>
            <w:r>
              <w:rPr>
                <w:rFonts w:ascii="Arial" w:cs="Arial" w:eastAsia="Arial" w:hAnsi="Arial"/>
                <w:sz w:val="15"/>
                <w:szCs w:val="15"/>
                <w:color w:val="auto"/>
              </w:rPr>
              <w:t>67,605</w:t>
            </w:r>
          </w:p>
        </w:tc>
        <w:tc>
          <w:tcPr>
            <w:tcW w:w="118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79,657</w:t>
            </w:r>
          </w:p>
        </w:tc>
      </w:tr>
      <w:tr>
        <w:trPr>
          <w:trHeight w:val="20"/>
        </w:trPr>
        <w:tc>
          <w:tcPr>
            <w:tcW w:w="7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right="440"/>
        <w:spacing w:after="0" w:line="235" w:lineRule="auto"/>
        <w:rPr>
          <w:sz w:val="20"/>
          <w:szCs w:val="20"/>
          <w:color w:val="auto"/>
        </w:rPr>
      </w:pPr>
      <w:r>
        <w:rPr>
          <w:rFonts w:ascii="Arial" w:cs="Arial" w:eastAsia="Arial" w:hAnsi="Arial"/>
          <w:sz w:val="17"/>
          <w:szCs w:val="17"/>
          <w:color w:val="auto"/>
        </w:rPr>
        <w:t>Kaplan University enrollments included 6,822, 5,681 and 6,036 campus-based students as of September 30, 2012, June 30, 2012, and September 30, 2011,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Kaplan University and KHE Campuses enrollments at September 30, 2012, and September 30, 2011, by degree and certificate programs,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2140" w:type="dxa"/>
            <w:vAlign w:val="bottom"/>
            <w:tcBorders>
              <w:bottom w:val="single" w:sz="8" w:color="auto"/>
            </w:tcBorders>
          </w:tcPr>
          <w:p>
            <w:pPr>
              <w:jc w:val="right"/>
              <w:ind w:right="9"/>
              <w:spacing w:after="0"/>
              <w:rPr>
                <w:sz w:val="20"/>
                <w:szCs w:val="20"/>
                <w:color w:val="auto"/>
              </w:rPr>
            </w:pPr>
            <w:r>
              <w:rPr>
                <w:rFonts w:ascii="Arial" w:cs="Arial" w:eastAsia="Arial" w:hAnsi="Arial"/>
                <w:sz w:val="12"/>
                <w:szCs w:val="12"/>
                <w:b w:val="1"/>
                <w:bCs w:val="1"/>
                <w:color w:val="auto"/>
              </w:rPr>
              <w:t>As of September 30,</w:t>
            </w:r>
          </w:p>
        </w:tc>
        <w:tc>
          <w:tcPr>
            <w:tcW w:w="800" w:type="dxa"/>
            <w:vAlign w:val="bottom"/>
            <w:tcBorders>
              <w:bottom w:val="single" w:sz="8" w:color="auto"/>
            </w:tcBorders>
          </w:tcPr>
          <w:p>
            <w:pPr>
              <w:spacing w:after="0"/>
              <w:rPr>
                <w:sz w:val="13"/>
                <w:szCs w:val="13"/>
                <w:color w:val="auto"/>
              </w:rPr>
            </w:pPr>
          </w:p>
        </w:tc>
      </w:tr>
      <w:tr>
        <w:trPr>
          <w:trHeight w:val="129"/>
        </w:trPr>
        <w:tc>
          <w:tcPr>
            <w:tcW w:w="848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tcPr>
          <w:p>
            <w:pPr>
              <w:jc w:val="right"/>
              <w:ind w:right="1329"/>
              <w:spacing w:after="0" w:line="129" w:lineRule="exact"/>
              <w:rPr>
                <w:sz w:val="20"/>
                <w:szCs w:val="20"/>
                <w:color w:val="auto"/>
              </w:rPr>
            </w:pPr>
            <w:r>
              <w:rPr>
                <w:rFonts w:ascii="Arial" w:cs="Arial" w:eastAsia="Arial" w:hAnsi="Arial"/>
                <w:sz w:val="12"/>
                <w:szCs w:val="12"/>
                <w:b w:val="1"/>
                <w:bCs w:val="1"/>
                <w:color w:val="auto"/>
              </w:rPr>
              <w:t>2012</w:t>
            </w:r>
          </w:p>
        </w:tc>
        <w:tc>
          <w:tcPr>
            <w:tcW w:w="800" w:type="dxa"/>
            <w:vAlign w:val="bottom"/>
            <w:tcBorders>
              <w:bottom w:val="single" w:sz="8" w:color="auto"/>
            </w:tcBorders>
          </w:tcPr>
          <w:p>
            <w:pPr>
              <w:jc w:val="right"/>
              <w:ind w:right="368"/>
              <w:spacing w:after="0" w:line="129" w:lineRule="exact"/>
              <w:rPr>
                <w:sz w:val="20"/>
                <w:szCs w:val="20"/>
                <w:color w:val="auto"/>
              </w:rPr>
            </w:pPr>
            <w:r>
              <w:rPr>
                <w:rFonts w:ascii="Arial" w:cs="Arial" w:eastAsia="Arial" w:hAnsi="Arial"/>
                <w:sz w:val="12"/>
                <w:szCs w:val="12"/>
                <w:color w:val="auto"/>
              </w:rPr>
              <w:t>2011</w:t>
            </w: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Certificate</w:t>
            </w:r>
          </w:p>
        </w:tc>
        <w:tc>
          <w:tcPr>
            <w:tcW w:w="2140" w:type="dxa"/>
            <w:vAlign w:val="bottom"/>
          </w:tcPr>
          <w:p>
            <w:pPr>
              <w:jc w:val="right"/>
              <w:ind w:right="909"/>
              <w:spacing w:after="0" w:line="150" w:lineRule="exact"/>
              <w:rPr>
                <w:sz w:val="20"/>
                <w:szCs w:val="20"/>
                <w:color w:val="auto"/>
              </w:rPr>
            </w:pPr>
            <w:r>
              <w:rPr>
                <w:rFonts w:ascii="Arial" w:cs="Arial" w:eastAsia="Arial" w:hAnsi="Arial"/>
                <w:sz w:val="15"/>
                <w:szCs w:val="15"/>
                <w:b w:val="1"/>
                <w:bCs w:val="1"/>
                <w:color w:val="auto"/>
              </w:rPr>
              <w:t>23.6 %</w:t>
            </w:r>
          </w:p>
        </w:tc>
        <w:tc>
          <w:tcPr>
            <w:tcW w:w="800" w:type="dxa"/>
            <w:vAlign w:val="bottom"/>
          </w:tcPr>
          <w:p>
            <w:pPr>
              <w:jc w:val="right"/>
              <w:ind w:right="8"/>
              <w:spacing w:after="0" w:line="150" w:lineRule="exact"/>
              <w:rPr>
                <w:sz w:val="20"/>
                <w:szCs w:val="20"/>
                <w:color w:val="auto"/>
              </w:rPr>
            </w:pPr>
            <w:r>
              <w:rPr>
                <w:rFonts w:ascii="Arial" w:cs="Arial" w:eastAsia="Arial" w:hAnsi="Arial"/>
                <w:sz w:val="15"/>
                <w:szCs w:val="15"/>
                <w:color w:val="auto"/>
              </w:rPr>
              <w:t>23.5 %</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Associate’s</w:t>
            </w:r>
          </w:p>
        </w:tc>
        <w:tc>
          <w:tcPr>
            <w:tcW w:w="2140" w:type="dxa"/>
            <w:vAlign w:val="bottom"/>
          </w:tcPr>
          <w:p>
            <w:pPr>
              <w:jc w:val="right"/>
              <w:ind w:right="909"/>
              <w:spacing w:after="0"/>
              <w:rPr>
                <w:sz w:val="20"/>
                <w:szCs w:val="20"/>
                <w:color w:val="auto"/>
              </w:rPr>
            </w:pPr>
            <w:r>
              <w:rPr>
                <w:rFonts w:ascii="Arial" w:cs="Arial" w:eastAsia="Arial" w:hAnsi="Arial"/>
                <w:sz w:val="15"/>
                <w:szCs w:val="15"/>
                <w:b w:val="1"/>
                <w:bCs w:val="1"/>
                <w:color w:val="auto"/>
              </w:rPr>
              <w:t>30.7 %</w:t>
            </w:r>
          </w:p>
        </w:tc>
        <w:tc>
          <w:tcPr>
            <w:tcW w:w="800" w:type="dxa"/>
            <w:vAlign w:val="bottom"/>
          </w:tcPr>
          <w:p>
            <w:pPr>
              <w:jc w:val="right"/>
              <w:ind w:right="8"/>
              <w:spacing w:after="0"/>
              <w:rPr>
                <w:sz w:val="20"/>
                <w:szCs w:val="20"/>
                <w:color w:val="auto"/>
              </w:rPr>
            </w:pPr>
            <w:r>
              <w:rPr>
                <w:rFonts w:ascii="Arial" w:cs="Arial" w:eastAsia="Arial" w:hAnsi="Arial"/>
                <w:sz w:val="15"/>
                <w:szCs w:val="15"/>
                <w:color w:val="auto"/>
              </w:rPr>
              <w:t>31.0 %</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Bachelor’s</w:t>
            </w:r>
          </w:p>
        </w:tc>
        <w:tc>
          <w:tcPr>
            <w:tcW w:w="2140" w:type="dxa"/>
            <w:vAlign w:val="bottom"/>
          </w:tcPr>
          <w:p>
            <w:pPr>
              <w:jc w:val="right"/>
              <w:ind w:right="909"/>
              <w:spacing w:after="0"/>
              <w:rPr>
                <w:sz w:val="20"/>
                <w:szCs w:val="20"/>
                <w:color w:val="auto"/>
              </w:rPr>
            </w:pPr>
            <w:r>
              <w:rPr>
                <w:rFonts w:ascii="Arial" w:cs="Arial" w:eastAsia="Arial" w:hAnsi="Arial"/>
                <w:sz w:val="15"/>
                <w:szCs w:val="15"/>
                <w:b w:val="1"/>
                <w:bCs w:val="1"/>
                <w:color w:val="auto"/>
              </w:rPr>
              <w:t>32.7 %</w:t>
            </w:r>
          </w:p>
        </w:tc>
        <w:tc>
          <w:tcPr>
            <w:tcW w:w="800" w:type="dxa"/>
            <w:vAlign w:val="bottom"/>
          </w:tcPr>
          <w:p>
            <w:pPr>
              <w:jc w:val="right"/>
              <w:ind w:right="8"/>
              <w:spacing w:after="0"/>
              <w:rPr>
                <w:sz w:val="20"/>
                <w:szCs w:val="20"/>
                <w:color w:val="auto"/>
              </w:rPr>
            </w:pPr>
            <w:r>
              <w:rPr>
                <w:rFonts w:ascii="Arial" w:cs="Arial" w:eastAsia="Arial" w:hAnsi="Arial"/>
                <w:sz w:val="15"/>
                <w:szCs w:val="15"/>
                <w:color w:val="auto"/>
              </w:rPr>
              <w:t>34.7 %</w:t>
            </w: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Master’s</w:t>
            </w:r>
          </w:p>
        </w:tc>
        <w:tc>
          <w:tcPr>
            <w:tcW w:w="2140" w:type="dxa"/>
            <w:vAlign w:val="bottom"/>
            <w:tcBorders>
              <w:bottom w:val="single" w:sz="8" w:color="auto"/>
            </w:tcBorders>
          </w:tcPr>
          <w:p>
            <w:pPr>
              <w:jc w:val="right"/>
              <w:ind w:right="909"/>
              <w:spacing w:after="0"/>
              <w:rPr>
                <w:sz w:val="20"/>
                <w:szCs w:val="20"/>
                <w:color w:val="auto"/>
              </w:rPr>
            </w:pPr>
            <w:r>
              <w:rPr>
                <w:rFonts w:ascii="Arial" w:cs="Arial" w:eastAsia="Arial" w:hAnsi="Arial"/>
                <w:sz w:val="15"/>
                <w:szCs w:val="15"/>
                <w:b w:val="1"/>
                <w:bCs w:val="1"/>
                <w:color w:val="auto"/>
              </w:rPr>
              <w:t>13.0 %</w:t>
            </w: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rPr>
              <w:t>10.8 %</w:t>
            </w:r>
          </w:p>
        </w:tc>
      </w:tr>
      <w:tr>
        <w:trPr>
          <w:trHeight w:val="166"/>
        </w:trPr>
        <w:tc>
          <w:tcPr>
            <w:tcW w:w="8480" w:type="dxa"/>
            <w:vAlign w:val="bottom"/>
          </w:tcPr>
          <w:p>
            <w:pPr>
              <w:spacing w:after="0"/>
              <w:rPr>
                <w:sz w:val="14"/>
                <w:szCs w:val="14"/>
                <w:color w:val="auto"/>
              </w:rPr>
            </w:pPr>
          </w:p>
        </w:tc>
        <w:tc>
          <w:tcPr>
            <w:tcW w:w="2140" w:type="dxa"/>
            <w:vAlign w:val="bottom"/>
            <w:tcBorders>
              <w:bottom w:val="single" w:sz="8" w:color="auto"/>
            </w:tcBorders>
          </w:tcPr>
          <w:p>
            <w:pPr>
              <w:jc w:val="right"/>
              <w:ind w:right="909"/>
              <w:spacing w:after="0" w:line="167" w:lineRule="exact"/>
              <w:rPr>
                <w:sz w:val="20"/>
                <w:szCs w:val="20"/>
                <w:color w:val="auto"/>
              </w:rPr>
            </w:pPr>
            <w:r>
              <w:rPr>
                <w:rFonts w:ascii="Arial" w:cs="Arial" w:eastAsia="Arial" w:hAnsi="Arial"/>
                <w:sz w:val="15"/>
                <w:szCs w:val="15"/>
                <w:b w:val="1"/>
                <w:bCs w:val="1"/>
                <w:color w:val="auto"/>
              </w:rPr>
              <w:t>100.0 %</w:t>
            </w:r>
          </w:p>
        </w:tc>
        <w:tc>
          <w:tcPr>
            <w:tcW w:w="800" w:type="dxa"/>
            <w:vAlign w:val="bottom"/>
            <w:tcBorders>
              <w:bottom w:val="single" w:sz="8" w:color="auto"/>
            </w:tcBorders>
          </w:tcPr>
          <w:p>
            <w:pPr>
              <w:jc w:val="right"/>
              <w:ind w:right="8"/>
              <w:spacing w:after="0" w:line="167" w:lineRule="exact"/>
              <w:rPr>
                <w:sz w:val="20"/>
                <w:szCs w:val="20"/>
                <w:color w:val="auto"/>
              </w:rPr>
            </w:pPr>
            <w:r>
              <w:rPr>
                <w:rFonts w:ascii="Arial" w:cs="Arial" w:eastAsia="Arial" w:hAnsi="Arial"/>
                <w:sz w:val="15"/>
                <w:szCs w:val="15"/>
                <w:color w:val="auto"/>
              </w:rPr>
              <w:t>100.0 %</w:t>
            </w:r>
          </w:p>
        </w:tc>
      </w:tr>
      <w:tr>
        <w:trPr>
          <w:trHeight w:val="20"/>
        </w:trPr>
        <w:tc>
          <w:tcPr>
            <w:tcW w:w="848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20"/>
        <w:spacing w:after="0" w:line="242" w:lineRule="auto"/>
        <w:rPr>
          <w:sz w:val="20"/>
          <w:szCs w:val="20"/>
          <w:color w:val="auto"/>
        </w:rPr>
      </w:pPr>
      <w:r>
        <w:rPr>
          <w:rFonts w:ascii="Arial" w:cs="Arial" w:eastAsia="Arial" w:hAnsi="Arial"/>
          <w:sz w:val="16"/>
          <w:szCs w:val="16"/>
          <w:color w:val="auto"/>
        </w:rPr>
        <w:t>KHE has implemented a number of marketing and admissions changes to increase student selectivity and help KHE comply with recent regulations. KHE also implemented the Kaplan Commitment program, which provides first-time students with a risk-free trial period. Under the program, KHE also monitors academic progress and conducts academic assessments to help determine whether students are likely to be successful in their chosen course of study.</w:t>
      </w:r>
    </w:p>
    <w:p>
      <w:pPr>
        <w:spacing w:after="0" w:line="2" w:lineRule="exact"/>
        <w:rPr>
          <w:sz w:val="20"/>
          <w:szCs w:val="20"/>
          <w:color w:val="auto"/>
        </w:rPr>
      </w:pPr>
    </w:p>
    <w:p>
      <w:pPr>
        <w:ind w:right="200"/>
        <w:spacing w:after="0" w:line="233" w:lineRule="auto"/>
        <w:rPr>
          <w:sz w:val="20"/>
          <w:szCs w:val="20"/>
          <w:color w:val="auto"/>
        </w:rPr>
      </w:pPr>
      <w:r>
        <w:rPr>
          <w:rFonts w:ascii="Arial" w:cs="Arial" w:eastAsia="Arial" w:hAnsi="Arial"/>
          <w:sz w:val="17"/>
          <w:szCs w:val="17"/>
          <w:color w:val="auto"/>
        </w:rPr>
        <w:t>Students who withdraw or are subject to academic dismissal during the risk-free trial period do not incur any significant financial obligation. For those first-time students enrolled to date under the Kaplan Commitment, the attrition rate during the risk-free period has been approximately 28%. Management believes the Kaplan Commitment program is unique and reflects Kaplan’s commitment to student success.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t>Refer to KHE Regulatory Matters below for additional information.</w:t>
      </w:r>
    </w:p>
    <w:p>
      <w:pPr>
        <w:spacing w:after="0" w:line="177" w:lineRule="exact"/>
        <w:rPr>
          <w:sz w:val="20"/>
          <w:szCs w:val="20"/>
          <w:color w:val="auto"/>
        </w:rPr>
      </w:pPr>
    </w:p>
    <w:p>
      <w:pPr>
        <w:ind w:right="140"/>
        <w:spacing w:after="0" w:line="230" w:lineRule="auto"/>
        <w:rPr>
          <w:sz w:val="20"/>
          <w:szCs w:val="20"/>
          <w:color w:val="auto"/>
        </w:rPr>
      </w:pPr>
      <w:r>
        <w:rPr>
          <w:rFonts w:ascii="Arial" w:cs="Arial" w:eastAsia="Arial" w:hAnsi="Arial"/>
          <w:sz w:val="17"/>
          <w:szCs w:val="17"/>
          <w:color w:val="auto"/>
        </w:rPr>
        <w:t>Kaplan Test Preparation (KTP) includes Kaplan’s standardized test preparation and tutoring offerings. KTP revenue increased 2% in the third quarter of 2012, while revenues declined 5% for the first nine months of 2012. Enrollment increased 21% and 12% for the third quarter and first nine months of 2012, respectively, driven by strength in pre-college, medical and bar review programs. Enrollment increases were offset by competitive pricing pressure and a continued shift in demand to lower priced online test preparation offerings. The improvement in KTP operating results in the first nine months of 2012 is largely from lower operating expenses due to restructuring activities in prior years. Also, $3.5 million and $12.0 million in restructuring costs were recorded in the third quarter and first nine months of 2011, respectively.</w:t>
      </w:r>
    </w:p>
    <w:p>
      <w:pPr>
        <w:spacing w:after="0" w:line="179" w:lineRule="exact"/>
        <w:rPr>
          <w:sz w:val="20"/>
          <w:szCs w:val="20"/>
          <w:color w:val="auto"/>
        </w:rPr>
      </w:pPr>
    </w:p>
    <w:p>
      <w:pPr>
        <w:ind w:right="120"/>
        <w:spacing w:after="0" w:line="230" w:lineRule="auto"/>
        <w:rPr>
          <w:sz w:val="20"/>
          <w:szCs w:val="20"/>
          <w:color w:val="auto"/>
        </w:rPr>
      </w:pPr>
      <w:r>
        <w:rPr>
          <w:rFonts w:ascii="Arial" w:cs="Arial" w:eastAsia="Arial" w:hAnsi="Arial"/>
          <w:sz w:val="17"/>
          <w:szCs w:val="17"/>
          <w:color w:val="auto"/>
        </w:rPr>
        <w:t>Kaplan International includes English-language programs, and postsecondary education and professional training businesses outside the United States. In May 2011, Kaplan Australia acquired Franklyn Scholar and Carrick Education Group, national providers of vocational training and higher education in Australia. In June 2011, Kaplan acquired Structuralia, a provider of e-learning for the engineering and infrastructure sector in Spain. Kaplan International revenue increased 3% and 8% in the third quarter and first nine months of 2012, respectively. Excluding revenue from acquired businesses, Kaplan International revenue increased 2% in both the third quarter and the first nine months of 2012 due to enrollment growth in the English-language and Singapore higher education programs. Kaplan International operating income increased in the first nine months of 2012 due largely to strong results in Singapore, offset by combined losses from businesses acquired in 2011. These losses are primarily in Australia, where Kaplan is in the process of consolidating operations and expects to incur restructuring costs in the fourth quarter of 2012 and in 2013.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Corporate represents unallocated expenses of Kaplan, Inc.’s corporate office and other minor shared activities.</w:t>
      </w:r>
    </w:p>
    <w:p>
      <w:pPr>
        <w:spacing w:after="0" w:line="177" w:lineRule="exact"/>
        <w:rPr>
          <w:sz w:val="20"/>
          <w:szCs w:val="20"/>
          <w:color w:val="auto"/>
        </w:rPr>
      </w:pPr>
    </w:p>
    <w:p>
      <w:pPr>
        <w:ind w:right="80"/>
        <w:spacing w:after="0" w:line="230" w:lineRule="auto"/>
        <w:rPr>
          <w:sz w:val="20"/>
          <w:szCs w:val="20"/>
          <w:color w:val="auto"/>
        </w:rPr>
      </w:pPr>
      <w:r>
        <w:rPr>
          <w:rFonts w:ascii="Arial" w:cs="Arial" w:eastAsia="Arial" w:hAnsi="Arial"/>
          <w:sz w:val="17"/>
          <w:szCs w:val="17"/>
          <w:color w:val="auto"/>
        </w:rPr>
        <w:t>As previously disclosed, in the first quarter of 2012, the Company performed an interim test of the carrying value of goodwill at the KTP reporting unit for possible impairment and the estimated fair value of the KTP reporting unit exceeded its carrying value by a margin of 10%. Also, Kaplan continues to formulate and implement restructuring plans and is likely to incur significant restructuring costs in the fourth quarter of 2012 and in 2013. The Company will perform its annual goodwill impairment test in the fourth quarter of 2012. There exists a reasonable possibility that operational changes, a decrease in the assumed projected cash flows or long-term growth rate, or an increase in the discount rate assumption used in the discounted cash flow model of Kaplan’s reporting units, could result in an impairment charge.</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Cable Television</w:t>
      </w:r>
    </w:p>
    <w:p>
      <w:pPr>
        <w:spacing w:after="0" w:line="197" w:lineRule="exact"/>
        <w:rPr>
          <w:sz w:val="20"/>
          <w:szCs w:val="20"/>
          <w:color w:val="auto"/>
        </w:rPr>
      </w:pPr>
    </w:p>
    <w:p>
      <w:pPr>
        <w:ind w:right="100"/>
        <w:spacing w:after="0" w:line="232" w:lineRule="auto"/>
        <w:rPr>
          <w:sz w:val="20"/>
          <w:szCs w:val="20"/>
          <w:color w:val="auto"/>
        </w:rPr>
      </w:pPr>
      <w:r>
        <w:rPr>
          <w:rFonts w:ascii="Arial" w:cs="Arial" w:eastAsia="Arial" w:hAnsi="Arial"/>
          <w:sz w:val="17"/>
          <w:szCs w:val="17"/>
          <w:color w:val="auto"/>
        </w:rPr>
        <w:t>Cable television division revenue increased 6% in the third quarter of 2012 to $199.6 million, from $187.9 million for the third quarter of 2011; for the first nine months of 2012, revenue increased 3% to $585.4 million, from $569.4 million in the same period of 2011. The revenue increase for the first nine months of 2012 is due to continued growth of the division’s Internet and telephone service revenues and rate increases for many subscribers in June 2012, offset by an increase in promotional discounts and a decline in basic video subscribers.</w:t>
      </w:r>
    </w:p>
    <w:p>
      <w:pPr>
        <w:spacing w:after="0" w:line="17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Cable television division operating income increased 8% to $39.9 million, from $36.8 million in the third quarter of 2011, due to increased revenues, offset by higher programming costs. Cable division operating income for the first nine months of 2012 decreased 3% to $111.1 million, from $114.9 million for the first nine months of 2011, primarily due to higher programming costs.</w:t>
      </w:r>
    </w:p>
    <w:p>
      <w:pPr>
        <w:spacing w:after="0" w:line="188"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At September 30, 2012, Primary Service Units (PSUs) were up slightly from the prior year due to growth in high-speed data and telephony subscribers, offset by a decrease in basic video subscribers. PSUs include about 6,000 subscribers who receive free basic cable service, primarily local governments, schools and other organizations as required by various franchise agreements. A summary of PSUs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700" w:type="dxa"/>
            <w:vAlign w:val="bottom"/>
          </w:tcPr>
          <w:p>
            <w:pPr>
              <w:spacing w:after="0"/>
              <w:rPr>
                <w:sz w:val="13"/>
                <w:szCs w:val="13"/>
                <w:color w:val="auto"/>
              </w:rPr>
            </w:pPr>
          </w:p>
        </w:tc>
        <w:tc>
          <w:tcPr>
            <w:tcW w:w="272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2"/>
                <w:szCs w:val="12"/>
                <w:b w:val="1"/>
                <w:bCs w:val="1"/>
                <w:color w:val="auto"/>
              </w:rPr>
              <w:t>As of September 30,</w:t>
            </w:r>
          </w:p>
        </w:tc>
      </w:tr>
      <w:tr>
        <w:trPr>
          <w:trHeight w:val="129"/>
        </w:trPr>
        <w:tc>
          <w:tcPr>
            <w:tcW w:w="87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ind w:right="770"/>
              <w:spacing w:after="0" w:line="129" w:lineRule="exact"/>
              <w:rPr>
                <w:sz w:val="20"/>
                <w:szCs w:val="20"/>
                <w:color w:val="auto"/>
              </w:rPr>
            </w:pPr>
            <w:r>
              <w:rPr>
                <w:rFonts w:ascii="Arial" w:cs="Arial" w:eastAsia="Arial" w:hAnsi="Arial"/>
                <w:sz w:val="12"/>
                <w:szCs w:val="12"/>
                <w:b w:val="1"/>
                <w:bCs w:val="1"/>
                <w:color w:val="auto"/>
              </w:rPr>
              <w:t>2012</w:t>
            </w:r>
          </w:p>
        </w:tc>
        <w:tc>
          <w:tcPr>
            <w:tcW w:w="1140" w:type="dxa"/>
            <w:vAlign w:val="bottom"/>
            <w:tcBorders>
              <w:bottom w:val="single" w:sz="8" w:color="auto"/>
            </w:tcBorders>
          </w:tcPr>
          <w:p>
            <w:pPr>
              <w:jc w:val="right"/>
              <w:ind w:right="428"/>
              <w:spacing w:after="0" w:line="129" w:lineRule="exact"/>
              <w:rPr>
                <w:sz w:val="20"/>
                <w:szCs w:val="20"/>
                <w:color w:val="auto"/>
              </w:rPr>
            </w:pPr>
            <w:r>
              <w:rPr>
                <w:rFonts w:ascii="Arial" w:cs="Arial" w:eastAsia="Arial" w:hAnsi="Arial"/>
                <w:sz w:val="12"/>
                <w:szCs w:val="12"/>
                <w:color w:val="auto"/>
              </w:rPr>
              <w:t>2011</w:t>
            </w:r>
          </w:p>
        </w:tc>
      </w:tr>
      <w:tr>
        <w:trPr>
          <w:trHeight w:val="150"/>
        </w:trPr>
        <w:tc>
          <w:tcPr>
            <w:tcW w:w="8700" w:type="dxa"/>
            <w:vAlign w:val="bottom"/>
          </w:tcPr>
          <w:p>
            <w:pPr>
              <w:spacing w:after="0" w:line="150" w:lineRule="exact"/>
              <w:rPr>
                <w:sz w:val="20"/>
                <w:szCs w:val="20"/>
                <w:color w:val="auto"/>
              </w:rPr>
            </w:pPr>
            <w:r>
              <w:rPr>
                <w:rFonts w:ascii="Arial" w:cs="Arial" w:eastAsia="Arial" w:hAnsi="Arial"/>
                <w:sz w:val="15"/>
                <w:szCs w:val="15"/>
                <w:color w:val="auto"/>
              </w:rPr>
              <w:t>Basic video</w:t>
            </w:r>
          </w:p>
        </w:tc>
        <w:tc>
          <w:tcPr>
            <w:tcW w:w="1580" w:type="dxa"/>
            <w:vAlign w:val="bottom"/>
          </w:tcPr>
          <w:p>
            <w:pPr>
              <w:jc w:val="right"/>
              <w:ind w:right="290"/>
              <w:spacing w:after="0" w:line="150" w:lineRule="exact"/>
              <w:rPr>
                <w:sz w:val="20"/>
                <w:szCs w:val="20"/>
                <w:color w:val="auto"/>
              </w:rPr>
            </w:pPr>
            <w:r>
              <w:rPr>
                <w:rFonts w:ascii="Arial" w:cs="Arial" w:eastAsia="Arial" w:hAnsi="Arial"/>
                <w:sz w:val="15"/>
                <w:szCs w:val="15"/>
                <w:b w:val="1"/>
                <w:bCs w:val="1"/>
                <w:color w:val="auto"/>
              </w:rPr>
              <w:t>605,057</w:t>
            </w:r>
          </w:p>
        </w:tc>
        <w:tc>
          <w:tcPr>
            <w:tcW w:w="1140" w:type="dxa"/>
            <w:vAlign w:val="bottom"/>
          </w:tcPr>
          <w:p>
            <w:pPr>
              <w:jc w:val="right"/>
              <w:spacing w:after="0" w:line="150" w:lineRule="exact"/>
              <w:rPr>
                <w:sz w:val="20"/>
                <w:szCs w:val="20"/>
                <w:color w:val="auto"/>
              </w:rPr>
            </w:pPr>
            <w:r>
              <w:rPr>
                <w:rFonts w:ascii="Arial" w:cs="Arial" w:eastAsia="Arial" w:hAnsi="Arial"/>
                <w:sz w:val="15"/>
                <w:szCs w:val="15"/>
                <w:color w:val="auto"/>
              </w:rPr>
              <w:t>627,659</w:t>
            </w:r>
          </w:p>
        </w:tc>
      </w:tr>
      <w:tr>
        <w:trPr>
          <w:trHeight w:val="174"/>
        </w:trPr>
        <w:tc>
          <w:tcPr>
            <w:tcW w:w="8700" w:type="dxa"/>
            <w:vAlign w:val="bottom"/>
          </w:tcPr>
          <w:p>
            <w:pPr>
              <w:spacing w:after="0"/>
              <w:rPr>
                <w:sz w:val="20"/>
                <w:szCs w:val="20"/>
                <w:color w:val="auto"/>
              </w:rPr>
            </w:pPr>
            <w:r>
              <w:rPr>
                <w:rFonts w:ascii="Arial" w:cs="Arial" w:eastAsia="Arial" w:hAnsi="Arial"/>
                <w:sz w:val="15"/>
                <w:szCs w:val="15"/>
                <w:color w:val="auto"/>
              </w:rPr>
              <w:t>High-speed data</w:t>
            </w:r>
          </w:p>
        </w:tc>
        <w:tc>
          <w:tcPr>
            <w:tcW w:w="1580" w:type="dxa"/>
            <w:vAlign w:val="bottom"/>
          </w:tcPr>
          <w:p>
            <w:pPr>
              <w:jc w:val="right"/>
              <w:ind w:right="290"/>
              <w:spacing w:after="0"/>
              <w:rPr>
                <w:sz w:val="20"/>
                <w:szCs w:val="20"/>
                <w:color w:val="auto"/>
              </w:rPr>
            </w:pPr>
            <w:r>
              <w:rPr>
                <w:rFonts w:ascii="Arial" w:cs="Arial" w:eastAsia="Arial" w:hAnsi="Arial"/>
                <w:sz w:val="15"/>
                <w:szCs w:val="15"/>
                <w:b w:val="1"/>
                <w:bCs w:val="1"/>
                <w:color w:val="auto"/>
              </w:rPr>
              <w:t>462,808</w:t>
            </w:r>
          </w:p>
        </w:tc>
        <w:tc>
          <w:tcPr>
            <w:tcW w:w="1140" w:type="dxa"/>
            <w:vAlign w:val="bottom"/>
          </w:tcPr>
          <w:p>
            <w:pPr>
              <w:jc w:val="right"/>
              <w:spacing w:after="0"/>
              <w:rPr>
                <w:sz w:val="20"/>
                <w:szCs w:val="20"/>
                <w:color w:val="auto"/>
              </w:rPr>
            </w:pPr>
            <w:r>
              <w:rPr>
                <w:rFonts w:ascii="Arial" w:cs="Arial" w:eastAsia="Arial" w:hAnsi="Arial"/>
                <w:sz w:val="15"/>
                <w:szCs w:val="15"/>
                <w:color w:val="auto"/>
              </w:rPr>
              <w:t>448,143</w:t>
            </w:r>
          </w:p>
        </w:tc>
      </w:tr>
      <w:tr>
        <w:trPr>
          <w:trHeight w:val="190"/>
        </w:trPr>
        <w:tc>
          <w:tcPr>
            <w:tcW w:w="8700" w:type="dxa"/>
            <w:vAlign w:val="bottom"/>
          </w:tcPr>
          <w:p>
            <w:pPr>
              <w:spacing w:after="0"/>
              <w:rPr>
                <w:sz w:val="20"/>
                <w:szCs w:val="20"/>
                <w:color w:val="auto"/>
              </w:rPr>
            </w:pPr>
            <w:r>
              <w:rPr>
                <w:rFonts w:ascii="Arial" w:cs="Arial" w:eastAsia="Arial" w:hAnsi="Arial"/>
                <w:sz w:val="15"/>
                <w:szCs w:val="15"/>
                <w:color w:val="auto"/>
              </w:rPr>
              <w:t>Telephony</w:t>
            </w:r>
          </w:p>
        </w:tc>
        <w:tc>
          <w:tcPr>
            <w:tcW w:w="1580" w:type="dxa"/>
            <w:vAlign w:val="bottom"/>
            <w:tcBorders>
              <w:bottom w:val="single" w:sz="8" w:color="auto"/>
            </w:tcBorders>
          </w:tcPr>
          <w:p>
            <w:pPr>
              <w:jc w:val="right"/>
              <w:ind w:right="290"/>
              <w:spacing w:after="0"/>
              <w:rPr>
                <w:sz w:val="20"/>
                <w:szCs w:val="20"/>
                <w:color w:val="auto"/>
              </w:rPr>
            </w:pPr>
            <w:r>
              <w:rPr>
                <w:rFonts w:ascii="Arial" w:cs="Arial" w:eastAsia="Arial" w:hAnsi="Arial"/>
                <w:sz w:val="15"/>
                <w:szCs w:val="15"/>
                <w:b w:val="1"/>
                <w:bCs w:val="1"/>
                <w:color w:val="auto"/>
              </w:rPr>
              <w:t>185,647</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176,527</w:t>
            </w:r>
          </w:p>
        </w:tc>
      </w:tr>
      <w:tr>
        <w:trPr>
          <w:trHeight w:val="166"/>
        </w:trPr>
        <w:tc>
          <w:tcPr>
            <w:tcW w:w="8700" w:type="dxa"/>
            <w:vAlign w:val="bottom"/>
          </w:tcPr>
          <w:p>
            <w:pPr>
              <w:spacing w:after="0"/>
              <w:rPr>
                <w:sz w:val="14"/>
                <w:szCs w:val="14"/>
                <w:color w:val="auto"/>
              </w:rPr>
            </w:pPr>
          </w:p>
        </w:tc>
        <w:tc>
          <w:tcPr>
            <w:tcW w:w="1580" w:type="dxa"/>
            <w:vAlign w:val="bottom"/>
            <w:tcBorders>
              <w:bottom w:val="single" w:sz="8" w:color="auto"/>
            </w:tcBorders>
          </w:tcPr>
          <w:p>
            <w:pPr>
              <w:jc w:val="right"/>
              <w:ind w:right="290"/>
              <w:spacing w:after="0" w:line="167" w:lineRule="exact"/>
              <w:rPr>
                <w:sz w:val="20"/>
                <w:szCs w:val="20"/>
                <w:color w:val="auto"/>
              </w:rPr>
            </w:pPr>
            <w:r>
              <w:rPr>
                <w:rFonts w:ascii="Arial" w:cs="Arial" w:eastAsia="Arial" w:hAnsi="Arial"/>
                <w:sz w:val="15"/>
                <w:szCs w:val="15"/>
                <w:b w:val="1"/>
                <w:bCs w:val="1"/>
                <w:color w:val="auto"/>
              </w:rPr>
              <w:t>1,253,512</w:t>
            </w:r>
          </w:p>
        </w:tc>
        <w:tc>
          <w:tcPr>
            <w:tcW w:w="11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1,252,329</w:t>
            </w:r>
          </w:p>
        </w:tc>
      </w:tr>
      <w:tr>
        <w:trPr>
          <w:trHeight w:val="20"/>
        </w:trPr>
        <w:tc>
          <w:tcPr>
            <w:tcW w:w="87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28" w:name="page29"/>
    <w:bookmarkEnd w:id="28"/>
    <w:p>
      <w:pPr>
        <w:spacing w:after="0"/>
        <w:rPr>
          <w:sz w:val="20"/>
          <w:szCs w:val="20"/>
          <w:color w:val="auto"/>
        </w:rPr>
      </w:pPr>
      <w:r>
        <w:rPr>
          <w:rFonts w:ascii="Arial" w:cs="Arial" w:eastAsia="Arial" w:hAnsi="Arial"/>
          <w:sz w:val="17"/>
          <w:szCs w:val="17"/>
          <w:color w:val="auto"/>
        </w:rPr>
        <w:t>Below are details of Cable division capital expenditures as defined by the NCTA Standard Reporting Categories: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4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700" w:type="dxa"/>
            <w:vAlign w:val="bottom"/>
            <w:tcBorders>
              <w:bottom w:val="single" w:sz="8" w:color="auto"/>
            </w:tcBorders>
            <w:gridSpan w:val="3"/>
          </w:tcPr>
          <w:p>
            <w:pPr>
              <w:jc w:val="right"/>
              <w:ind w:right="808"/>
              <w:spacing w:after="0"/>
              <w:rPr>
                <w:sz w:val="20"/>
                <w:szCs w:val="20"/>
                <w:color w:val="auto"/>
              </w:rPr>
            </w:pPr>
            <w:r>
              <w:rPr>
                <w:rFonts w:ascii="Arial" w:cs="Arial" w:eastAsia="Arial" w:hAnsi="Arial"/>
                <w:sz w:val="12"/>
                <w:szCs w:val="12"/>
                <w:b w:val="1"/>
                <w:bCs w:val="1"/>
                <w:color w:val="auto"/>
              </w:rPr>
              <w:t>Nine Months Ended</w:t>
            </w:r>
          </w:p>
        </w:tc>
      </w:tr>
      <w:tr>
        <w:trPr>
          <w:trHeight w:val="152"/>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right"/>
              <w:ind w:right="349"/>
              <w:spacing w:after="0"/>
              <w:rPr>
                <w:sz w:val="20"/>
                <w:szCs w:val="20"/>
                <w:color w:val="auto"/>
              </w:rPr>
            </w:pPr>
            <w:r>
              <w:rPr>
                <w:rFonts w:ascii="Arial" w:cs="Arial" w:eastAsia="Arial" w:hAnsi="Arial"/>
                <w:sz w:val="12"/>
                <w:szCs w:val="12"/>
                <w:b w:val="1"/>
                <w:bCs w:val="1"/>
                <w:color w:val="auto"/>
              </w:rPr>
              <w:t>September 30,</w:t>
            </w:r>
          </w:p>
        </w:tc>
        <w:tc>
          <w:tcPr>
            <w:tcW w:w="380" w:type="dxa"/>
            <w:vAlign w:val="bottom"/>
          </w:tcPr>
          <w:p>
            <w:pPr>
              <w:spacing w:after="0"/>
              <w:rPr>
                <w:sz w:val="13"/>
                <w:szCs w:val="13"/>
                <w:color w:val="auto"/>
              </w:rPr>
            </w:pPr>
          </w:p>
        </w:tc>
        <w:tc>
          <w:tcPr>
            <w:tcW w:w="1040" w:type="dxa"/>
            <w:vAlign w:val="bottom"/>
          </w:tcPr>
          <w:p>
            <w:pPr>
              <w:jc w:val="right"/>
              <w:ind w:right="308"/>
              <w:spacing w:after="0"/>
              <w:rPr>
                <w:sz w:val="20"/>
                <w:szCs w:val="20"/>
                <w:color w:val="auto"/>
              </w:rPr>
            </w:pPr>
            <w:r>
              <w:rPr>
                <w:rFonts w:ascii="Arial" w:cs="Arial" w:eastAsia="Arial" w:hAnsi="Arial"/>
                <w:sz w:val="12"/>
                <w:szCs w:val="12"/>
                <w:color w:val="auto"/>
              </w:rPr>
              <w:t>October 2,</w:t>
            </w:r>
          </w:p>
        </w:tc>
      </w:tr>
      <w:tr>
        <w:trPr>
          <w:trHeight w:val="151"/>
        </w:trPr>
        <w:tc>
          <w:tcPr>
            <w:tcW w:w="84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(in thousands)</w:t>
            </w: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49"/>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8"/>
              <w:spacing w:after="0"/>
              <w:rPr>
                <w:sz w:val="20"/>
                <w:szCs w:val="20"/>
                <w:color w:val="auto"/>
              </w:rPr>
            </w:pPr>
            <w:r>
              <w:rPr>
                <w:rFonts w:ascii="Arial" w:cs="Arial" w:eastAsia="Arial" w:hAnsi="Arial"/>
                <w:sz w:val="12"/>
                <w:szCs w:val="12"/>
                <w:color w:val="auto"/>
              </w:rPr>
              <w:t>2011</w:t>
            </w:r>
          </w:p>
        </w:tc>
      </w:tr>
      <w:tr>
        <w:trPr>
          <w:trHeight w:val="150"/>
        </w:trPr>
        <w:tc>
          <w:tcPr>
            <w:tcW w:w="8480" w:type="dxa"/>
            <w:vAlign w:val="bottom"/>
          </w:tcPr>
          <w:p>
            <w:pPr>
              <w:spacing w:after="0" w:line="150" w:lineRule="exact"/>
              <w:rPr>
                <w:sz w:val="20"/>
                <w:szCs w:val="20"/>
                <w:color w:val="auto"/>
              </w:rPr>
            </w:pPr>
            <w:r>
              <w:rPr>
                <w:rFonts w:ascii="Arial" w:cs="Arial" w:eastAsia="Arial" w:hAnsi="Arial"/>
                <w:sz w:val="15"/>
                <w:szCs w:val="15"/>
                <w:color w:val="auto"/>
              </w:rPr>
              <w:t>Customer Premise Equipment</w:t>
            </w:r>
          </w:p>
        </w:tc>
        <w:tc>
          <w:tcPr>
            <w:tcW w:w="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35,863</w:t>
            </w:r>
          </w:p>
        </w:tc>
        <w:tc>
          <w:tcPr>
            <w:tcW w:w="38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50" w:lineRule="exact"/>
              <w:rPr>
                <w:sz w:val="20"/>
                <w:szCs w:val="20"/>
                <w:color w:val="auto"/>
              </w:rPr>
            </w:pPr>
            <w:r>
              <w:rPr>
                <w:rFonts w:ascii="Arial" w:cs="Arial" w:eastAsia="Arial" w:hAnsi="Arial"/>
                <w:sz w:val="15"/>
                <w:szCs w:val="15"/>
                <w:color w:val="auto"/>
              </w:rPr>
              <w:t>36,085</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Commercial</w:t>
            </w: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3,387</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2,549</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Scaleable Infrastructure</w:t>
            </w: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17,557</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25,355</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Line Extensions</w:t>
            </w: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4,010</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4,220</w:t>
            </w:r>
          </w:p>
        </w:tc>
      </w:tr>
      <w:tr>
        <w:trPr>
          <w:trHeight w:val="174"/>
        </w:trPr>
        <w:tc>
          <w:tcPr>
            <w:tcW w:w="8480" w:type="dxa"/>
            <w:vAlign w:val="bottom"/>
          </w:tcPr>
          <w:p>
            <w:pPr>
              <w:spacing w:after="0"/>
              <w:rPr>
                <w:sz w:val="20"/>
                <w:szCs w:val="20"/>
                <w:color w:val="auto"/>
              </w:rPr>
            </w:pPr>
            <w:r>
              <w:rPr>
                <w:rFonts w:ascii="Arial" w:cs="Arial" w:eastAsia="Arial" w:hAnsi="Arial"/>
                <w:sz w:val="15"/>
                <w:szCs w:val="15"/>
                <w:color w:val="auto"/>
              </w:rPr>
              <w:t>Upgrade/Rebuild</w:t>
            </w: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10,646</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7,211</w:t>
            </w:r>
          </w:p>
        </w:tc>
      </w:tr>
      <w:tr>
        <w:trPr>
          <w:trHeight w:val="190"/>
        </w:trPr>
        <w:tc>
          <w:tcPr>
            <w:tcW w:w="8480" w:type="dxa"/>
            <w:vAlign w:val="bottom"/>
          </w:tcPr>
          <w:p>
            <w:pPr>
              <w:spacing w:after="0"/>
              <w:rPr>
                <w:sz w:val="20"/>
                <w:szCs w:val="20"/>
                <w:color w:val="auto"/>
              </w:rPr>
            </w:pPr>
            <w:r>
              <w:rPr>
                <w:rFonts w:ascii="Arial" w:cs="Arial" w:eastAsia="Arial" w:hAnsi="Arial"/>
                <w:sz w:val="15"/>
                <w:szCs w:val="15"/>
                <w:color w:val="auto"/>
              </w:rPr>
              <w:t>Support Capital</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30,799</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18,625</w:t>
            </w:r>
          </w:p>
        </w:tc>
      </w:tr>
      <w:tr>
        <w:trPr>
          <w:trHeight w:val="166"/>
        </w:trPr>
        <w:tc>
          <w:tcPr>
            <w:tcW w:w="8480" w:type="dxa"/>
            <w:vAlign w:val="bottom"/>
          </w:tcPr>
          <w:p>
            <w:pPr>
              <w:spacing w:after="0"/>
              <w:rPr>
                <w:sz w:val="14"/>
                <w:szCs w:val="14"/>
                <w:color w:val="auto"/>
              </w:rPr>
            </w:pP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9"/>
              <w:spacing w:after="0" w:line="167" w:lineRule="exact"/>
              <w:rPr>
                <w:sz w:val="20"/>
                <w:szCs w:val="20"/>
                <w:color w:val="auto"/>
              </w:rPr>
            </w:pPr>
            <w:r>
              <w:rPr>
                <w:rFonts w:ascii="Arial" w:cs="Arial" w:eastAsia="Arial" w:hAnsi="Arial"/>
                <w:sz w:val="15"/>
                <w:szCs w:val="15"/>
                <w:b w:val="1"/>
                <w:bCs w:val="1"/>
                <w:color w:val="auto"/>
              </w:rPr>
              <w:t>102,262</w:t>
            </w:r>
          </w:p>
        </w:tc>
        <w:tc>
          <w:tcPr>
            <w:tcW w:w="3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94,045</w:t>
            </w: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Newspaper Publishing</w:t>
      </w:r>
    </w:p>
    <w:p>
      <w:pPr>
        <w:spacing w:after="0" w:line="197"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Newspaper publishing division revenue totaled $137.3 million for the third quarter of 2012, down 4% from revenue of $143.5 million for the third quarter of 2011; division revenue declined 7% to $419.6 million for the first nine months of 2012, from $450.4 million for the first nine months of 2011. Print advertising revenue at The Washington Post in the third quarter of 2012 declined 11% to $51.4 million, from $57.6 million in the third quarter of 2011, and declined 14% to $160.7 million for the first nine months of 2012, from $187.4 million for the first nine months of 2011. The decline is largely due to reductions in general and retail advertising. Revenue generated by the Company’s newspaper online publishing activities, primarily washingtonpost.com and Slate, increased 13% to $26.9 million for the third quarter of 2012, versus $23.8 million for the third quarter of 2011; newspaper online revenues increased 4% to $77.5 million for the first nine months of 2012, versus $74.3 million for the first nine months of 2011. Display online advertising revenue increased 18% and 5% for the third quarter and first nine months of 2012, respectively. Online classified advertising revenue increased 1% for the third quarter and decreased 1% for the first nine months of 2012.</w:t>
      </w:r>
    </w:p>
    <w:p>
      <w:pPr>
        <w:spacing w:after="0" w:line="176" w:lineRule="exact"/>
        <w:rPr>
          <w:sz w:val="20"/>
          <w:szCs w:val="20"/>
          <w:color w:val="auto"/>
        </w:rPr>
      </w:pPr>
    </w:p>
    <w:p>
      <w:pPr>
        <w:jc w:val="both"/>
        <w:ind w:right="140"/>
        <w:spacing w:after="0" w:line="233" w:lineRule="auto"/>
        <w:rPr>
          <w:sz w:val="20"/>
          <w:szCs w:val="20"/>
          <w:color w:val="auto"/>
        </w:rPr>
      </w:pPr>
      <w:r>
        <w:rPr>
          <w:rFonts w:ascii="Arial" w:cs="Arial" w:eastAsia="Arial" w:hAnsi="Arial"/>
          <w:sz w:val="17"/>
          <w:szCs w:val="17"/>
          <w:color w:val="auto"/>
        </w:rPr>
        <w:t>For the first nine months of 2012, Post daily and Sunday circulation declined 9.2% and 6.5%, respectively, compared to the same periods of the prior year. For the nine months ended September 30, 2012, average daily circulation at The Washington Post totaled 471,200 and average Sunday circulation totaled 689,000.</w:t>
      </w:r>
    </w:p>
    <w:p>
      <w:pPr>
        <w:spacing w:after="0" w:line="175" w:lineRule="exact"/>
        <w:rPr>
          <w:sz w:val="20"/>
          <w:szCs w:val="20"/>
          <w:color w:val="auto"/>
        </w:rPr>
      </w:pPr>
    </w:p>
    <w:p>
      <w:pPr>
        <w:ind w:right="20"/>
        <w:spacing w:after="0" w:line="231" w:lineRule="auto"/>
        <w:rPr>
          <w:sz w:val="20"/>
          <w:szCs w:val="20"/>
          <w:color w:val="auto"/>
        </w:rPr>
      </w:pPr>
      <w:r>
        <w:rPr>
          <w:rFonts w:ascii="Arial" w:cs="Arial" w:eastAsia="Arial" w:hAnsi="Arial"/>
          <w:sz w:val="17"/>
          <w:szCs w:val="17"/>
          <w:color w:val="auto"/>
        </w:rPr>
        <w:t>The newspaper publishing division reported an operating loss of $21.8 million in the third quarter of 2012 and an operating loss of $10.8 million in the third quarter of 2011, including noncash pension expense of $ 16.2 million and $ 5.2 million, respectively. The newspaper publishing division reported an operating loss of $56.3 million for the first nine months of 2012 and an operating loss of $28.0 million for the first nine months of 2011, including noncash pension expense of $32.6 million and $17.2 million, respectively. Included in pension expense for the third quarter of 2012 was a $7.5 million Voluntary Retirement Incentive Program (VRIP) for certain employees.</w:t>
      </w:r>
    </w:p>
    <w:p>
      <w:pPr>
        <w:spacing w:after="0" w:line="176"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The decline in operating results for the third quarter of 2012 is due to the revenue reductions discussed above and $ 7.8 million in early retirement and severance expense, offset partially by a decline in other operating expenses. The decline in operating results for the first nine months of 2012 is primarily due to the revenue reductions discussed above and $13.1 million in early retirement and severance expense, offset partially by a decline in other operating expenses. Newsprint expense was down 9% and 10% for the third quarter and first nine months of 2012, respectively, due to a decline in newsprint consumption.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Television Broadcasting</w:t>
      </w:r>
    </w:p>
    <w:p>
      <w:pPr>
        <w:spacing w:after="0" w:line="197"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color w:val="auto"/>
        </w:rPr>
        <w:t>Revenue for the television broadcasting division increased 44% to $ 106.4 million in the third quarter of 2012, from $73.8 million in the same period of 2011; operating income for the third quarter of 2012 more than doubled to $54.1 million, from $24.1 million in the same period of 2011. For the first nine months of 2012, revenue increased 23% to $283.5 million, from $231.0 million in the same period of 2011; operating income for the first nine months of 2012 increased 69% to $128.8 million, from $76.2 million in the same period of 2011.</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increase in revenue and operating income for the third quarter and first nine months of 2012 reflects improved advertising demand across many product categories. This includes a $ 15.6 million and $22.1 million increase in political advertising revenue in the third quarter and first nine months of 2012, respectively; $10.8 million in incremental summer Olympics-related advertising at the Company’s NBC affiliates in the third quarter of 2012; and increased retransmission revenues.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Other Businesses</w:t>
      </w:r>
    </w:p>
    <w:p>
      <w:pPr>
        <w:spacing w:after="0" w:line="197" w:lineRule="exact"/>
        <w:rPr>
          <w:sz w:val="20"/>
          <w:szCs w:val="20"/>
          <w:color w:val="auto"/>
        </w:rPr>
      </w:pPr>
    </w:p>
    <w:p>
      <w:pPr>
        <w:ind w:right="300"/>
        <w:spacing w:after="0" w:line="235" w:lineRule="auto"/>
        <w:rPr>
          <w:sz w:val="20"/>
          <w:szCs w:val="20"/>
          <w:color w:val="auto"/>
        </w:rPr>
      </w:pPr>
      <w:r>
        <w:rPr>
          <w:rFonts w:ascii="Arial" w:cs="Arial" w:eastAsia="Arial" w:hAnsi="Arial"/>
          <w:sz w:val="17"/>
          <w:szCs w:val="17"/>
          <w:color w:val="auto"/>
        </w:rPr>
        <w:t>Other businesses includes the operating results of Social Code, an agency specializing in paid advertising on social-media platforms, and WaPo Labs, a digital team focused on emerging technologies and new product development.</w:t>
      </w:r>
    </w:p>
    <w:p>
      <w:pPr>
        <w:spacing w:after="0" w:line="176" w:lineRule="exact"/>
        <w:rPr>
          <w:sz w:val="20"/>
          <w:szCs w:val="20"/>
          <w:color w:val="auto"/>
        </w:rPr>
      </w:pPr>
    </w:p>
    <w:p>
      <w:pPr>
        <w:ind w:right="60"/>
        <w:spacing w:after="0" w:line="233" w:lineRule="auto"/>
        <w:rPr>
          <w:sz w:val="20"/>
          <w:szCs w:val="20"/>
          <w:color w:val="auto"/>
        </w:rPr>
      </w:pPr>
      <w:r>
        <w:rPr>
          <w:rFonts w:ascii="Arial" w:cs="Arial" w:eastAsia="Arial" w:hAnsi="Arial"/>
          <w:sz w:val="17"/>
          <w:szCs w:val="17"/>
          <w:color w:val="auto"/>
        </w:rPr>
        <w:t>In September 2012, The Washington Post Company entered into a stock purchase agreement to acquire a controlling interest in Celtic Healthcare, Inc. (Celtic), a provider of home healthcare and hospice services in the northeastern and mid-Atlantic regions. The transaction is expected to close in November 2012. The operating results of Celtic will be included in other businesses.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Corporate Office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 includes the expenses of the Company’s corporate office as well as a net pension credit.</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Equity in Earnings (Losses) of Affiliates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Company holds a 49% interest in Bowater Mersey Paper Company, a 16.5% interest in Classified Ventures, LLC and interests in several other affiliates.</w:t>
      </w:r>
    </w:p>
    <w:p>
      <w:pPr>
        <w:spacing w:after="0" w:line="188"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Company’s equity in earnings of affiliates, net, was $4.1 million for the third quarter of 2012, compared to a loss of $1.5 million for the third quarter of 2011. For the first nine months of 2012, the Company’s equity in earnings of affiliates, net, totaled $11.3 million, compared to $5.4 million for the same period of 2011. In the third quarter of 2011, a $9.2 million impairment charge was recorded on the Company’s interest in Bowater Mersey Paper Company.</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Other Non-Operating Income (Expense)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other non-operating income, net, of $4.2 million for the third quarter of 2012, compared to other non-operating expense, net, of</w:t>
      </w:r>
    </w:p>
    <w:p>
      <w:pPr>
        <w:ind w:right="80"/>
        <w:spacing w:after="0" w:line="233" w:lineRule="auto"/>
        <w:rPr>
          <w:sz w:val="20"/>
          <w:szCs w:val="20"/>
          <w:color w:val="auto"/>
        </w:rPr>
      </w:pPr>
      <w:r>
        <w:rPr>
          <w:rFonts w:ascii="Arial" w:cs="Arial" w:eastAsia="Arial" w:hAnsi="Arial"/>
          <w:sz w:val="17"/>
          <w:szCs w:val="17"/>
          <w:color w:val="auto"/>
        </w:rPr>
        <w:t>$29.7 million for the third quarter of 2011. The third quarter 2012 non-operating expense, net, included $ 3.1 million in unrealized foreign currency gains and other items. The third quarter 2011 non-operating expense, net, included a $23.1 million write-down of a marketable equity security (Corinthian Colleges, Inc.), $6.7 million in unrealized foreign currency losses and other items.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recorded non-operating income, net, of $12.1 million for the first nine months of 2012, compared to other non-operating expense, net, of</w:t>
      </w:r>
    </w:p>
    <w:p>
      <w:pPr>
        <w:ind w:right="40"/>
        <w:spacing w:after="0" w:line="233" w:lineRule="auto"/>
        <w:rPr>
          <w:sz w:val="20"/>
          <w:szCs w:val="20"/>
          <w:color w:val="auto"/>
        </w:rPr>
      </w:pPr>
      <w:r>
        <w:rPr>
          <w:rFonts w:ascii="Arial" w:cs="Arial" w:eastAsia="Arial" w:hAnsi="Arial"/>
          <w:sz w:val="17"/>
          <w:szCs w:val="17"/>
          <w:color w:val="auto"/>
        </w:rPr>
        <w:t>$56.3 million for the same period of the prior year. The 2012 non-operating income, net, included a $7.3 million gain on sales of cost method investments, $3.2 million in unrealized foreign currency gains and other items. The 2011 non-operating expense, net, included a $53.8 million write-down of a marketable equity security (Corinthian Colleges, Inc.), $3.7 million in unrealized foreign currency losses and other items.</w:t>
      </w:r>
    </w:p>
    <w:p>
      <w:pPr>
        <w:sectPr>
          <w:pgSz w:w="11900" w:h="16838" w:orient="portrait"/>
          <w:cols w:equalWidth="0" w:num="1">
            <w:col w:w="11420"/>
          </w:cols>
          <w:pgMar w:left="240" w:top="975" w:right="2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non-operating income (expense) is as follows: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2"/>
          <w:szCs w:val="12"/>
          <w:color w:val="auto"/>
        </w:rPr>
        <w:t>(in thousands)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Gain on sales of cost method investments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Foreign currency gains (losses), net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Impairment write-down on a cost method investment</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Impairment write-down of a marketable equity security</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Other, net</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Total Other Non-Operating Income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ind w:left="1020"/>
        <w:spacing w:after="0"/>
        <w:rPr>
          <w:sz w:val="20"/>
          <w:szCs w:val="20"/>
          <w:color w:val="auto"/>
        </w:rPr>
      </w:pPr>
      <w:r>
        <w:rPr>
          <w:rFonts w:ascii="Arial" w:cs="Arial" w:eastAsia="Arial" w:hAnsi="Arial"/>
          <w:sz w:val="12"/>
          <w:szCs w:val="12"/>
          <w:b w:val="1"/>
          <w:bCs w:val="1"/>
          <w:color w:val="auto"/>
        </w:rPr>
        <w:t>Nine Months Ended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14"/>
        </w:trPr>
        <w:tc>
          <w:tcPr>
            <w:tcW w:w="12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280" w:type="dxa"/>
            <w:vAlign w:val="bottom"/>
            <w:tcBorders>
              <w:top w:val="single" w:sz="8" w:color="auto"/>
            </w:tcBorders>
          </w:tcPr>
          <w:p>
            <w:pPr>
              <w:jc w:val="right"/>
              <w:ind w:right="349"/>
              <w:spacing w:after="0" w:line="114" w:lineRule="exact"/>
              <w:rPr>
                <w:sz w:val="20"/>
                <w:szCs w:val="20"/>
                <w:color w:val="auto"/>
              </w:rPr>
            </w:pPr>
            <w:r>
              <w:rPr>
                <w:rFonts w:ascii="Arial" w:cs="Arial" w:eastAsia="Arial" w:hAnsi="Arial"/>
                <w:sz w:val="12"/>
                <w:szCs w:val="12"/>
                <w:b w:val="1"/>
                <w:bCs w:val="1"/>
                <w:color w:val="auto"/>
              </w:rPr>
              <w:t>September 30,</w:t>
            </w:r>
          </w:p>
        </w:tc>
        <w:tc>
          <w:tcPr>
            <w:tcW w:w="380" w:type="dxa"/>
            <w:vAlign w:val="bottom"/>
            <w:tcBorders>
              <w:top w:val="single" w:sz="8" w:color="auto"/>
            </w:tcBorders>
          </w:tcPr>
          <w:p>
            <w:pPr>
              <w:spacing w:after="0"/>
              <w:rPr>
                <w:sz w:val="9"/>
                <w:szCs w:val="9"/>
                <w:color w:val="auto"/>
              </w:rPr>
            </w:pPr>
          </w:p>
        </w:tc>
        <w:tc>
          <w:tcPr>
            <w:tcW w:w="1040" w:type="dxa"/>
            <w:vAlign w:val="bottom"/>
            <w:tcBorders>
              <w:top w:val="single" w:sz="8" w:color="auto"/>
            </w:tcBorders>
          </w:tcPr>
          <w:p>
            <w:pPr>
              <w:jc w:val="right"/>
              <w:ind w:right="309"/>
              <w:spacing w:after="0" w:line="114" w:lineRule="exact"/>
              <w:rPr>
                <w:sz w:val="20"/>
                <w:szCs w:val="20"/>
                <w:color w:val="auto"/>
              </w:rPr>
            </w:pPr>
            <w:r>
              <w:rPr>
                <w:rFonts w:ascii="Arial" w:cs="Arial" w:eastAsia="Arial" w:hAnsi="Arial"/>
                <w:sz w:val="12"/>
                <w:szCs w:val="12"/>
                <w:color w:val="auto"/>
              </w:rPr>
              <w:t>October 2,</w:t>
            </w:r>
          </w:p>
        </w:tc>
      </w:tr>
      <w:tr>
        <w:trPr>
          <w:trHeight w:val="151"/>
        </w:trPr>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49"/>
              <w:spacing w:after="0"/>
              <w:rPr>
                <w:sz w:val="20"/>
                <w:szCs w:val="20"/>
                <w:color w:val="auto"/>
              </w:rPr>
            </w:pPr>
            <w:r>
              <w:rPr>
                <w:rFonts w:ascii="Arial" w:cs="Arial" w:eastAsia="Arial" w:hAnsi="Arial"/>
                <w:sz w:val="12"/>
                <w:szCs w:val="12"/>
                <w:b w:val="1"/>
                <w:bCs w:val="1"/>
                <w:color w:val="auto"/>
              </w:rPr>
              <w:t>2012</w:t>
            </w: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color w:val="auto"/>
              </w:rPr>
              <w:t>2011</w:t>
            </w:r>
          </w:p>
        </w:tc>
      </w:tr>
      <w:tr>
        <w:trPr>
          <w:trHeight w:val="150"/>
        </w:trPr>
        <w:tc>
          <w:tcPr>
            <w:tcW w:w="120" w:type="dxa"/>
            <w:vAlign w:val="bottom"/>
          </w:tcPr>
          <w:p>
            <w:pPr>
              <w:spacing w:after="0"/>
              <w:rPr>
                <w:sz w:val="13"/>
                <w:szCs w:val="13"/>
                <w:color w:val="auto"/>
              </w:rPr>
            </w:pPr>
          </w:p>
        </w:tc>
        <w:tc>
          <w:tcPr>
            <w:tcW w:w="240" w:type="dxa"/>
            <w:vAlign w:val="bottom"/>
          </w:tcPr>
          <w:p>
            <w:pPr>
              <w:jc w:val="right"/>
              <w:spacing w:after="0" w:line="150" w:lineRule="exact"/>
              <w:rPr>
                <w:sz w:val="20"/>
                <w:szCs w:val="20"/>
                <w:color w:val="auto"/>
              </w:rPr>
            </w:pPr>
            <w:r>
              <w:rPr>
                <w:rFonts w:ascii="Arial" w:cs="Arial" w:eastAsia="Arial" w:hAnsi="Arial"/>
                <w:sz w:val="15"/>
                <w:szCs w:val="15"/>
                <w:b w:val="1"/>
                <w:bCs w:val="1"/>
                <w:color w:val="auto"/>
              </w:rPr>
              <w:t>$</w:t>
            </w:r>
          </w:p>
        </w:tc>
        <w:tc>
          <w:tcPr>
            <w:tcW w:w="1280" w:type="dxa"/>
            <w:vAlign w:val="bottom"/>
          </w:tcPr>
          <w:p>
            <w:pPr>
              <w:jc w:val="right"/>
              <w:ind w:right="129"/>
              <w:spacing w:after="0" w:line="150" w:lineRule="exact"/>
              <w:rPr>
                <w:sz w:val="20"/>
                <w:szCs w:val="20"/>
                <w:color w:val="auto"/>
              </w:rPr>
            </w:pPr>
            <w:r>
              <w:rPr>
                <w:rFonts w:ascii="Arial" w:cs="Arial" w:eastAsia="Arial" w:hAnsi="Arial"/>
                <w:sz w:val="15"/>
                <w:szCs w:val="15"/>
                <w:b w:val="1"/>
                <w:bCs w:val="1"/>
                <w:color w:val="auto"/>
              </w:rPr>
              <w:t>7,258</w:t>
            </w:r>
          </w:p>
        </w:tc>
        <w:tc>
          <w:tcPr>
            <w:tcW w:w="380" w:type="dxa"/>
            <w:vAlign w:val="bottom"/>
          </w:tcPr>
          <w:p>
            <w:pPr>
              <w:jc w:val="right"/>
              <w:ind w:right="26"/>
              <w:spacing w:after="0" w:line="150" w:lineRule="exact"/>
              <w:rPr>
                <w:sz w:val="20"/>
                <w:szCs w:val="20"/>
                <w:color w:val="auto"/>
              </w:rPr>
            </w:pPr>
            <w:r>
              <w:rPr>
                <w:rFonts w:ascii="Arial" w:cs="Arial" w:eastAsia="Arial" w:hAnsi="Arial"/>
                <w:sz w:val="15"/>
                <w:szCs w:val="15"/>
                <w:color w:val="auto"/>
              </w:rPr>
              <w:t>$</w:t>
            </w:r>
          </w:p>
        </w:tc>
        <w:tc>
          <w:tcPr>
            <w:tcW w:w="1040" w:type="dxa"/>
            <w:vAlign w:val="bottom"/>
          </w:tcPr>
          <w:p>
            <w:pPr>
              <w:jc w:val="right"/>
              <w:spacing w:after="0" w:line="150" w:lineRule="exact"/>
              <w:rPr>
                <w:sz w:val="20"/>
                <w:szCs w:val="20"/>
                <w:color w:val="auto"/>
              </w:rPr>
            </w:pPr>
            <w:r>
              <w:rPr>
                <w:rFonts w:ascii="Arial" w:cs="Arial" w:eastAsia="Arial" w:hAnsi="Arial"/>
                <w:sz w:val="15"/>
                <w:szCs w:val="15"/>
                <w:color w:val="auto"/>
              </w:rPr>
              <w:t>4,031</w:t>
            </w:r>
          </w:p>
        </w:tc>
      </w:tr>
      <w:tr>
        <w:trPr>
          <w:trHeight w:val="174"/>
        </w:trPr>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3,179</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(3,675)</w:t>
            </w:r>
          </w:p>
        </w:tc>
      </w:tr>
      <w:tr>
        <w:trPr>
          <w:trHeight w:val="174"/>
        </w:trPr>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(498)</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(3,379)</w:t>
            </w:r>
          </w:p>
        </w:tc>
      </w:tr>
      <w:tr>
        <w:trPr>
          <w:trHeight w:val="174"/>
        </w:trPr>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ind w:right="129"/>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(53,793)</w:t>
            </w:r>
          </w:p>
        </w:tc>
      </w:tr>
      <w:tr>
        <w:trPr>
          <w:trHeight w:val="190"/>
        </w:trPr>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29"/>
              <w:spacing w:after="0"/>
              <w:rPr>
                <w:sz w:val="20"/>
                <w:szCs w:val="20"/>
                <w:color w:val="auto"/>
              </w:rPr>
            </w:pPr>
            <w:r>
              <w:rPr>
                <w:rFonts w:ascii="Arial" w:cs="Arial" w:eastAsia="Arial" w:hAnsi="Arial"/>
                <w:sz w:val="15"/>
                <w:szCs w:val="15"/>
                <w:b w:val="1"/>
                <w:bCs w:val="1"/>
                <w:color w:val="auto"/>
              </w:rPr>
              <w:t>2,177</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543</w:t>
            </w:r>
          </w:p>
        </w:tc>
      </w:tr>
      <w:tr>
        <w:trPr>
          <w:trHeight w:val="166"/>
        </w:trPr>
        <w:tc>
          <w:tcPr>
            <w:tcW w:w="120" w:type="dxa"/>
            <w:vAlign w:val="bottom"/>
          </w:tcPr>
          <w:p>
            <w:pPr>
              <w:spacing w:after="0"/>
              <w:rPr>
                <w:sz w:val="14"/>
                <w:szCs w:val="14"/>
                <w:color w:val="auto"/>
              </w:rPr>
            </w:pPr>
          </w:p>
        </w:tc>
        <w:tc>
          <w:tcPr>
            <w:tcW w:w="2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b w:val="1"/>
                <w:bCs w:val="1"/>
                <w:color w:val="auto"/>
              </w:rPr>
              <w:t>$</w:t>
            </w:r>
          </w:p>
        </w:tc>
        <w:tc>
          <w:tcPr>
            <w:tcW w:w="1280" w:type="dxa"/>
            <w:vAlign w:val="bottom"/>
            <w:tcBorders>
              <w:bottom w:val="single" w:sz="8" w:color="auto"/>
            </w:tcBorders>
          </w:tcPr>
          <w:p>
            <w:pPr>
              <w:jc w:val="right"/>
              <w:ind w:right="129"/>
              <w:spacing w:after="0" w:line="167" w:lineRule="exact"/>
              <w:rPr>
                <w:sz w:val="20"/>
                <w:szCs w:val="20"/>
                <w:color w:val="auto"/>
              </w:rPr>
            </w:pPr>
            <w:r>
              <w:rPr>
                <w:rFonts w:ascii="Arial" w:cs="Arial" w:eastAsia="Arial" w:hAnsi="Arial"/>
                <w:sz w:val="15"/>
                <w:szCs w:val="15"/>
                <w:b w:val="1"/>
                <w:bCs w:val="1"/>
                <w:color w:val="auto"/>
              </w:rPr>
              <w:t>12,116</w:t>
            </w:r>
          </w:p>
        </w:tc>
        <w:tc>
          <w:tcPr>
            <w:tcW w:w="380" w:type="dxa"/>
            <w:vAlign w:val="bottom"/>
            <w:tcBorders>
              <w:bottom w:val="single" w:sz="8" w:color="auto"/>
            </w:tcBorders>
          </w:tcPr>
          <w:p>
            <w:pPr>
              <w:jc w:val="right"/>
              <w:ind w:right="26"/>
              <w:spacing w:after="0" w:line="167"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line="167" w:lineRule="exact"/>
              <w:rPr>
                <w:sz w:val="20"/>
                <w:szCs w:val="20"/>
                <w:color w:val="auto"/>
              </w:rPr>
            </w:pPr>
            <w:r>
              <w:rPr>
                <w:rFonts w:ascii="Arial" w:cs="Arial" w:eastAsia="Arial" w:hAnsi="Arial"/>
                <w:sz w:val="15"/>
                <w:szCs w:val="15"/>
                <w:color w:val="auto"/>
              </w:rPr>
              <w:t>(56,273)</w:t>
            </w:r>
          </w:p>
        </w:tc>
      </w:tr>
      <w:tr>
        <w:trPr>
          <w:trHeight w:val="20"/>
        </w:trPr>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7640" w:space="720"/>
            <w:col w:w="3060"/>
          </w:cols>
          <w:pgMar w:left="240" w:top="975" w:right="239" w:bottom="1440" w:gutter="0" w:footer="0" w:header="0"/>
          <w:type w:val="continuous"/>
        </w:sectPr>
      </w:pPr>
    </w:p>
    <w:p>
      <w:pPr>
        <w:spacing w:after="0"/>
        <w:rPr>
          <w:sz w:val="20"/>
          <w:szCs w:val="20"/>
          <w:color w:val="auto"/>
        </w:rPr>
      </w:pPr>
      <w:r>
        <w:rPr>
          <w:rFonts w:ascii="Arial" w:cs="Arial" w:eastAsia="Arial" w:hAnsi="Arial"/>
          <w:sz w:val="17"/>
          <w:szCs w:val="17"/>
          <w:b w:val="1"/>
          <w:bCs w:val="1"/>
          <w:u w:val="single" w:color="auto"/>
          <w:color w:val="auto"/>
        </w:rPr>
        <w:t>Net Interest Expense</w:t>
      </w:r>
    </w:p>
    <w:p>
      <w:pPr>
        <w:spacing w:after="0" w:line="197" w:lineRule="exact"/>
        <w:rPr>
          <w:sz w:val="20"/>
          <w:szCs w:val="20"/>
          <w:color w:val="auto"/>
        </w:rPr>
      </w:pPr>
    </w:p>
    <w:p>
      <w:pPr>
        <w:ind w:right="240"/>
        <w:spacing w:after="0" w:line="233" w:lineRule="auto"/>
        <w:rPr>
          <w:sz w:val="20"/>
          <w:szCs w:val="20"/>
          <w:color w:val="auto"/>
        </w:rPr>
      </w:pPr>
      <w:r>
        <w:rPr>
          <w:rFonts w:ascii="Arial" w:cs="Arial" w:eastAsia="Arial" w:hAnsi="Arial"/>
          <w:sz w:val="17"/>
          <w:szCs w:val="17"/>
          <w:color w:val="auto"/>
        </w:rPr>
        <w:t>The Company incurred net interest expense of $8.1 million and $24.4 million for the third quarter and first nine months of 2012, respectively, compared to $7.7 million and $21.6 million for the same periods of 2011. At September 30, 2012, the Company had $456.5 million in borrowings outstanding, at an average interest rate of 7.0%.</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975"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7"/>
          <w:szCs w:val="17"/>
          <w:b w:val="1"/>
          <w:bCs w:val="1"/>
          <w:u w:val="single" w:color="auto"/>
          <w:color w:val="auto"/>
        </w:rPr>
        <w:t>Provision for Income Taxes</w:t>
      </w:r>
    </w:p>
    <w:p>
      <w:pPr>
        <w:spacing w:after="0" w:line="197" w:lineRule="exact"/>
        <w:rPr>
          <w:sz w:val="20"/>
          <w:szCs w:val="20"/>
          <w:color w:val="auto"/>
        </w:rPr>
      </w:pPr>
    </w:p>
    <w:p>
      <w:pPr>
        <w:ind w:right="320"/>
        <w:spacing w:after="0" w:line="235" w:lineRule="auto"/>
        <w:rPr>
          <w:sz w:val="20"/>
          <w:szCs w:val="20"/>
          <w:color w:val="auto"/>
        </w:rPr>
      </w:pPr>
      <w:r>
        <w:rPr>
          <w:rFonts w:ascii="Arial" w:cs="Arial" w:eastAsia="Arial" w:hAnsi="Arial"/>
          <w:sz w:val="17"/>
          <w:szCs w:val="17"/>
          <w:color w:val="auto"/>
        </w:rPr>
        <w:t>The effective tax rate for income from continuing operations for the first nine months of 2012 was 40.3%, compared to 41.6% for the first nine months of 2011.</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Discontinued Operations</w:t>
      </w:r>
    </w:p>
    <w:p>
      <w:pPr>
        <w:spacing w:after="0" w:line="197" w:lineRule="exact"/>
        <w:rPr>
          <w:sz w:val="20"/>
          <w:szCs w:val="20"/>
          <w:color w:val="auto"/>
        </w:rPr>
      </w:pPr>
    </w:p>
    <w:p>
      <w:pPr>
        <w:jc w:val="both"/>
        <w:ind w:right="80"/>
        <w:spacing w:after="0" w:line="233" w:lineRule="auto"/>
        <w:rPr>
          <w:sz w:val="20"/>
          <w:szCs w:val="20"/>
          <w:color w:val="auto"/>
        </w:rPr>
      </w:pPr>
      <w:r>
        <w:rPr>
          <w:rFonts w:ascii="Arial" w:cs="Arial" w:eastAsia="Arial" w:hAnsi="Arial"/>
          <w:sz w:val="17"/>
          <w:szCs w:val="17"/>
          <w:color w:val="auto"/>
        </w:rPr>
        <w:t>Kaplan sold Kidum in August 2012, EduNeering in April 2012 and Kaplan Learning Technologies in February 2012. The Company also divested its interest in Avenue100 Media Solutions on July 31, 2012. Consequently, the Company’s income from continuing operations excludes these businesses, which have been reclassified to discontinued operations, net of tax.</w:t>
      </w:r>
    </w:p>
    <w:p>
      <w:pPr>
        <w:spacing w:after="0" w:line="175" w:lineRule="exact"/>
        <w:rPr>
          <w:sz w:val="20"/>
          <w:szCs w:val="20"/>
          <w:color w:val="auto"/>
        </w:rPr>
      </w:pPr>
    </w:p>
    <w:p>
      <w:pPr>
        <w:ind w:right="80"/>
        <w:spacing w:after="0" w:line="233" w:lineRule="auto"/>
        <w:rPr>
          <w:sz w:val="20"/>
          <w:szCs w:val="20"/>
          <w:color w:val="auto"/>
        </w:rPr>
      </w:pPr>
      <w:r>
        <w:rPr>
          <w:rFonts w:ascii="Arial" w:cs="Arial" w:eastAsia="Arial" w:hAnsi="Arial"/>
          <w:sz w:val="17"/>
          <w:szCs w:val="17"/>
          <w:color w:val="auto"/>
        </w:rPr>
        <w:t>The sale of Kaplan Learning Technologies resulted in a pre-tax loss of $3.1 million, which was recorded in the first quarter of 2012. The sale of EduNeering resulted in a pre-tax gain of $29.5 million, which was recorded in the second quarter of 2012. The sale of Kidum resulted in a pre-tax gain of $3.6 million, which was recorded in the third quarter of 2012.</w:t>
      </w:r>
    </w:p>
    <w:p>
      <w:pPr>
        <w:spacing w:after="0" w:line="175" w:lineRule="exact"/>
        <w:rPr>
          <w:sz w:val="20"/>
          <w:szCs w:val="20"/>
          <w:color w:val="auto"/>
        </w:rPr>
      </w:pPr>
    </w:p>
    <w:p>
      <w:pPr>
        <w:ind w:right="260"/>
        <w:spacing w:after="0" w:line="260" w:lineRule="auto"/>
        <w:rPr>
          <w:sz w:val="20"/>
          <w:szCs w:val="20"/>
          <w:color w:val="auto"/>
        </w:rPr>
      </w:pPr>
      <w:r>
        <w:rPr>
          <w:rFonts w:ascii="Arial" w:cs="Arial" w:eastAsia="Arial" w:hAnsi="Arial"/>
          <w:sz w:val="16"/>
          <w:szCs w:val="16"/>
          <w:color w:val="auto"/>
        </w:rPr>
        <w:t>In connection with each of the sales of the Company’s stock in EduNeering and Kaplan Learning Technologies, in the first quarter of 2012, the Company recorded $23.2 million of income tax benefits related to the excess of the outside stock tax basis over the net book value of the net assets disposed.</w:t>
      </w:r>
    </w:p>
    <w:p>
      <w:pPr>
        <w:spacing w:after="0" w:line="160"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In connection with the disposal of Avenue100 Media Solutions, Inc., the Company recorded a pre-tax loss of $ 5.7 million in the third quarter of 2012. An income tax benefit of $44.5 million was also recorded in the third quarter of 2012 as the Company determined that Avenue100 Media Solutions, Inc. had no value. The income tax benefit is due to the Company’s tax basis in the stock of Avenue100 exceeding its net book value as a result of goodwill and other intangible asset impairment charges recorded in 2008, 2010 and 2011 for which no tax benefit was previously recorded.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Earnings (Loss) Per Share</w:t>
      </w:r>
    </w:p>
    <w:p>
      <w:pPr>
        <w:spacing w:after="0" w:line="197" w:lineRule="exact"/>
        <w:rPr>
          <w:sz w:val="20"/>
          <w:szCs w:val="20"/>
          <w:color w:val="auto"/>
        </w:rPr>
      </w:pPr>
    </w:p>
    <w:p>
      <w:pPr>
        <w:ind w:right="200"/>
        <w:spacing w:after="0" w:line="231" w:lineRule="auto"/>
        <w:rPr>
          <w:sz w:val="20"/>
          <w:szCs w:val="20"/>
          <w:color w:val="auto"/>
        </w:rPr>
      </w:pPr>
      <w:r>
        <w:rPr>
          <w:rFonts w:ascii="Arial" w:cs="Arial" w:eastAsia="Arial" w:hAnsi="Arial"/>
          <w:sz w:val="17"/>
          <w:szCs w:val="17"/>
          <w:color w:val="auto"/>
        </w:rPr>
        <w:t>The calculation of diluted earnings per share for the third quarter and first nine months of 2012 was based on 7,376,255 and 7,507,946 weighted average shares outstanding, respectively, compared to 7,882,709 and 7,978,520, respectively, for the third quarter and first nine months of 2011. In the first nine months of 2012, the Company repurchased 284,550 shares of its Class B common stock at a cost of $97.5 million. At September 30, 2012, there were 7,378,237 shares outstanding and the Company had remaining authorization from the Board of Directors to purchase up to 208,924 shares of Class B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KHE Regulatory Matters</w:t>
      </w:r>
    </w:p>
    <w:p>
      <w:pPr>
        <w:spacing w:after="0" w:line="140"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b w:val="1"/>
          <w:bCs w:val="1"/>
          <w:color w:val="auto"/>
        </w:rPr>
        <w:t xml:space="preserve">Gainful employment. </w:t>
      </w:r>
      <w:r>
        <w:rPr>
          <w:rFonts w:ascii="Arial" w:cs="Arial" w:eastAsia="Arial" w:hAnsi="Arial"/>
          <w:sz w:val="17"/>
          <w:szCs w:val="17"/>
          <w:color w:val="auto"/>
        </w:rPr>
        <w:t>In June 2011, the DOE issued final regulations that tie an education program’s Title IV eligibility to whether the program leads to</w:t>
      </w:r>
      <w:r>
        <w:rPr>
          <w:rFonts w:ascii="Arial" w:cs="Arial" w:eastAsia="Arial" w:hAnsi="Arial"/>
          <w:sz w:val="17"/>
          <w:szCs w:val="17"/>
          <w:b w:val="1"/>
          <w:bCs w:val="1"/>
          <w:color w:val="auto"/>
        </w:rPr>
        <w:t xml:space="preserve"> </w:t>
      </w:r>
      <w:r>
        <w:rPr>
          <w:rFonts w:ascii="Arial" w:cs="Arial" w:eastAsia="Arial" w:hAnsi="Arial"/>
          <w:sz w:val="17"/>
          <w:szCs w:val="17"/>
          <w:color w:val="auto"/>
        </w:rPr>
        <w:t>gainful employment. The regulations define an education program that leads to gainful employment as one that complies with the following gainful employment metrics as calculated under the complex formulas prescribed in the regulations: (1) the average annual loan payment for program graduates is 12% or less of annual earnings; (2) the average annual loan payment for program graduates is 30% or less of discretionary income, generally defined as annual earnings above 150% of the U.S. Federal poverty level; and (3) the U.S. Federal loan repayment rate must be at least 35% for loans owed by students for attendance in the program regardless of whether they graduated.</w:t>
      </w:r>
    </w:p>
    <w:p>
      <w:pPr>
        <w:spacing w:after="0" w:line="175" w:lineRule="exact"/>
        <w:rPr>
          <w:sz w:val="20"/>
          <w:szCs w:val="20"/>
          <w:color w:val="auto"/>
        </w:rPr>
      </w:pPr>
    </w:p>
    <w:p>
      <w:pPr>
        <w:spacing w:after="0" w:line="230" w:lineRule="auto"/>
        <w:rPr>
          <w:sz w:val="20"/>
          <w:szCs w:val="20"/>
          <w:color w:val="auto"/>
        </w:rPr>
      </w:pPr>
      <w:r>
        <w:rPr>
          <w:rFonts w:ascii="Arial" w:cs="Arial" w:eastAsia="Arial" w:hAnsi="Arial"/>
          <w:sz w:val="17"/>
          <w:szCs w:val="17"/>
          <w:color w:val="auto"/>
        </w:rPr>
        <w:t>If a program fails all three of the gainful employment metrics in a single U.S. Federal fiscal year, the Department requires the institution, among other things, to disclose to current and prospective students the amount by which the program under-performed the metrics and the institution’s plan for program improvement, and to establish a three-day waiting period before students can enroll. Should a program fail to achieve the metrics twice within three years, the Department requires the institution, among other things, to disclose to current and prospective students that they should expect to have difficulty repaying their student loans; that the program is at risk of losing eligibility to receive U.S. Federal financial aid; and that transfer options exist, including providing resources to students to research other education options and compare program costs. Should a program fail three times within a four-year period, the DOE would terminate the program’s eligibility for U.S. Federal student aid, and the institution would not be able to reestablish the program’s eligibility for at least three years, though the program could continue to operate without student aid. The final rule was scheduled to go into effect on July 1, 2012. However, the first final debt measures would not be released until 2013, and a program could not lose eligibility until 2015.</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380"/>
          </w:cols>
          <w:pgMar w:left="240" w:top="851" w:right="279" w:bottom="1440" w:gutter="0" w:footer="0" w:header="0"/>
        </w:sectPr>
      </w:pPr>
    </w:p>
    <w:bookmarkStart w:id="31" w:name="page32"/>
    <w:bookmarkEnd w:id="31"/>
    <w:p>
      <w:pPr>
        <w:ind w:right="160"/>
        <w:spacing w:after="0" w:line="233" w:lineRule="auto"/>
        <w:rPr>
          <w:sz w:val="20"/>
          <w:szCs w:val="20"/>
          <w:color w:val="auto"/>
        </w:rPr>
      </w:pPr>
      <w:r>
        <w:rPr>
          <w:rFonts w:ascii="Arial" w:cs="Arial" w:eastAsia="Arial" w:hAnsi="Arial"/>
          <w:sz w:val="17"/>
          <w:szCs w:val="17"/>
          <w:color w:val="auto"/>
        </w:rPr>
        <w:t>On June 30, 2012, the United States District Court for the District of Columbia overturned most of the final regulations on gainful employment. The DOE is reviewing the details of the Court’s decision in consultation with the Department of Justice and evaluating their plans which may include an appeal. The ultimate outcome of gainful employment regulations and their impact on Kaplan’s operations is uncertain.</w:t>
      </w:r>
    </w:p>
    <w:p>
      <w:pPr>
        <w:spacing w:after="0" w:line="155"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b w:val="1"/>
          <w:bCs w:val="1"/>
          <w:color w:val="auto"/>
        </w:rPr>
        <w:t xml:space="preserve">The 90/10 Rule. </w:t>
      </w:r>
      <w:r>
        <w:rPr>
          <w:rFonts w:ascii="Arial" w:cs="Arial" w:eastAsia="Arial" w:hAnsi="Arial"/>
          <w:sz w:val="17"/>
          <w:szCs w:val="17"/>
          <w:color w:val="auto"/>
        </w:rPr>
        <w:t>Under regulations referred to as the 90/10 rule, a Kaplan Higher Education OPEID unit would lose its eligibility to participate in the Title IV</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for a period of at least two fiscal years if it derives more than 90% of its receipts from the Title IV programs for two consecutive fiscal years, commencing with the unit's first fiscal year that ends after August 14, 2008. Any OPEID reporting unit with receipts from the Title IV programs exceeding 90% for a single fiscal year ending after August 14, 2008, would be placed on provisional certification and may be subject to other enforcement measures. KHE is taking various measures to reduce the percentage of its receipts attributable to Title IV funds, including emphasizing direct-pay and employer-paid education programs; encouraging students to carefully evaluate the amount of their Title IV borrowing; program eliminations; cash-matching and developing and offering additional non-Title IV-eligible certificate preparation, professional development and continuing education programs. Based on currently available information, management does not believe that any of the Kaplan OPEID units will have a 90/10 ratio over 90% in 2012. However, absent the adoption of the changes mentioned above, and if current trends continue, management estimates that in 2013, at least 16 of the KHE Campuses OPEID units, representing approximately 16% of KHE’s 2011 revenues, could have a 90/10 ratio over 90%. As noted above, Kaplan is taking steps to address compliance with the 90/10 rule; however, there can be no guarantee that these measures will be adequate to prevent the 90/10 rule calculations from exceeding 90% in the future.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Condition: Capital Resources and Liquidity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Acquisitions and Dispositions</w:t>
      </w:r>
    </w:p>
    <w:p>
      <w:pPr>
        <w:spacing w:after="0" w:line="234" w:lineRule="exact"/>
        <w:rPr>
          <w:sz w:val="20"/>
          <w:szCs w:val="20"/>
          <w:color w:val="auto"/>
        </w:rPr>
      </w:pPr>
    </w:p>
    <w:p>
      <w:pPr>
        <w:ind w:right="40"/>
        <w:spacing w:after="0" w:line="230" w:lineRule="auto"/>
        <w:rPr>
          <w:sz w:val="20"/>
          <w:szCs w:val="20"/>
          <w:color w:val="auto"/>
        </w:rPr>
      </w:pPr>
      <w:r>
        <w:rPr>
          <w:rFonts w:ascii="Arial" w:cs="Arial" w:eastAsia="Arial" w:hAnsi="Arial"/>
          <w:sz w:val="17"/>
          <w:szCs w:val="17"/>
          <w:color w:val="auto"/>
        </w:rPr>
        <w:t>In the first nine months of 2012, the Company acquired three small businesses in its education division and one small business included in other businesses; the purchase price allocation mostly comprised goodwill and other intangible assets on a preliminary basis. In the first nine months of 2011, the Company acquired four businesses. These acquisitions included Kaplan’s May 2011 acquisitions of Franklyn Scholar and Carrick Education Group, leading national providers of vocational training and higher education in Australia. In June 2011, Kaplan acquired Structuralia, a provider of e-learning for the engineering and infrastructure sector in Spain. The Company did not make any acquisitions during the third quarters of 2012 or 2011. The assets and liabilities of the companies acquired have been recorded at their estimated fair values at the date of acquisition.</w:t>
      </w:r>
    </w:p>
    <w:p>
      <w:pPr>
        <w:spacing w:after="0" w:line="179" w:lineRule="exact"/>
        <w:rPr>
          <w:sz w:val="20"/>
          <w:szCs w:val="20"/>
          <w:color w:val="auto"/>
        </w:rPr>
      </w:pPr>
    </w:p>
    <w:p>
      <w:pPr>
        <w:jc w:val="both"/>
        <w:ind w:right="120"/>
        <w:spacing w:after="0" w:line="233" w:lineRule="auto"/>
        <w:rPr>
          <w:sz w:val="20"/>
          <w:szCs w:val="20"/>
          <w:color w:val="auto"/>
        </w:rPr>
      </w:pPr>
      <w:r>
        <w:rPr>
          <w:rFonts w:ascii="Arial" w:cs="Arial" w:eastAsia="Arial" w:hAnsi="Arial"/>
          <w:sz w:val="17"/>
          <w:szCs w:val="17"/>
          <w:color w:val="auto"/>
        </w:rPr>
        <w:t>In September 2012, the Company entered into a stock purchase agreement to acquire a controlling interest in Celtic Healthcare, Inc. (Celtic), a provider of home healthcare and hospice services in the northeastern and mid-Atlantic regions. The transaction closed on November 5, 2012. The operating results of Celtic will be included in other businesses.</w:t>
      </w:r>
    </w:p>
    <w:p>
      <w:pPr>
        <w:spacing w:after="0" w:line="175" w:lineRule="exact"/>
        <w:rPr>
          <w:sz w:val="20"/>
          <w:szCs w:val="20"/>
          <w:color w:val="auto"/>
        </w:rPr>
      </w:pPr>
    </w:p>
    <w:p>
      <w:pPr>
        <w:spacing w:after="0" w:line="232" w:lineRule="auto"/>
        <w:rPr>
          <w:sz w:val="20"/>
          <w:szCs w:val="20"/>
          <w:color w:val="auto"/>
        </w:rPr>
      </w:pPr>
      <w:r>
        <w:rPr>
          <w:rFonts w:ascii="Arial" w:cs="Arial" w:eastAsia="Arial" w:hAnsi="Arial"/>
          <w:sz w:val="17"/>
          <w:szCs w:val="17"/>
          <w:color w:val="auto"/>
        </w:rPr>
        <w:t>The Company divested its interested in Avenue100 Media Solutions in July 2012, which was previously reported in other businesses. Kaplan completed the sales of Kidum in August 2012, EduNeering in April 2012 and Kaplan Learning Technologies in February 2012, which were part of the Kaplan Ventures division. In October 2011, Kaplan completed the sale of Kaplan Compliance Solutions, which was part of the Kaplan Higher Education division. In July 2011, Kaplan completed the sale of Kaplan Virtual Education, which was part of Kaplan Ventures division.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color w:val="auto"/>
        </w:rPr>
        <w:t>During the first nine months of 2012, the Company’s capital expenditures totaled $152.4 million. The Company estimates that its capital expenditures will be in the range of $225 million to $250 million in 2012.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w:t>
      </w:r>
    </w:p>
    <w:p>
      <w:pPr>
        <w:spacing w:after="0" w:line="197"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The Company’s borrowings decreased by $108.7 million, to $456.5 million at September 30, 2012, as compared to borrowings of $565.2 million at December 31, 2011</w:t>
      </w:r>
      <w:r>
        <w:rPr>
          <w:rFonts w:ascii="Arial" w:cs="Arial" w:eastAsia="Arial" w:hAnsi="Arial"/>
          <w:sz w:val="17"/>
          <w:szCs w:val="17"/>
          <w:i w:val="1"/>
          <w:iCs w:val="1"/>
          <w:color w:val="auto"/>
        </w:rPr>
        <w:t>.</w:t>
      </w:r>
      <w:r>
        <w:rPr>
          <w:rFonts w:ascii="Arial" w:cs="Arial" w:eastAsia="Arial" w:hAnsi="Arial"/>
          <w:sz w:val="17"/>
          <w:szCs w:val="17"/>
          <w:color w:val="auto"/>
        </w:rPr>
        <w:t xml:space="preserve"> At September 30, 2012, the Company has $305.7 million in cash and cash equivalents, compared to $381.1 million at December 31, 2011. The Company had money market investments of $ 160.2 million and $180.1 million that are classified as cash, cash equivalents and restricted cash in the Company’s condensed consolidated Balance Sheets as of September 30, 2012 and December 31, 2011, respectively.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00"/>
          </w:cols>
          <w:pgMar w:left="240" w:top="809" w:right="259" w:bottom="1440" w:gutter="0" w:footer="0" w:header="0"/>
        </w:sectPr>
      </w:pPr>
    </w:p>
    <w:bookmarkStart w:id="32" w:name="page33"/>
    <w:bookmarkEnd w:id="32"/>
    <w:p>
      <w:pPr>
        <w:ind w:right="280"/>
        <w:spacing w:after="0" w:line="235" w:lineRule="auto"/>
        <w:rPr>
          <w:sz w:val="20"/>
          <w:szCs w:val="20"/>
          <w:color w:val="auto"/>
        </w:rPr>
      </w:pPr>
      <w:r>
        <w:rPr>
          <w:rFonts w:ascii="Arial" w:cs="Arial" w:eastAsia="Arial" w:hAnsi="Arial"/>
          <w:sz w:val="17"/>
          <w:szCs w:val="17"/>
          <w:color w:val="auto"/>
        </w:rPr>
        <w:t>The Company’s total debt outstanding of $456.5 million at September 30, 2012 included $397.4 million of 7.25% unsecured notes due February 1, 2019, $51.9 million of AUD 50M borrowing and $7.3 million in other debt.</w:t>
      </w:r>
    </w:p>
    <w:p>
      <w:pPr>
        <w:spacing w:after="0" w:line="213" w:lineRule="exact"/>
        <w:rPr>
          <w:sz w:val="20"/>
          <w:szCs w:val="20"/>
          <w:color w:val="auto"/>
        </w:rPr>
      </w:pPr>
    </w:p>
    <w:p>
      <w:pPr>
        <w:jc w:val="both"/>
        <w:ind w:right="220"/>
        <w:spacing w:after="0" w:line="232" w:lineRule="auto"/>
        <w:rPr>
          <w:sz w:val="20"/>
          <w:szCs w:val="20"/>
          <w:color w:val="auto"/>
        </w:rPr>
      </w:pPr>
      <w:r>
        <w:rPr>
          <w:rFonts w:ascii="Arial" w:cs="Arial" w:eastAsia="Arial" w:hAnsi="Arial"/>
          <w:sz w:val="17"/>
          <w:szCs w:val="17"/>
          <w:color w:val="auto"/>
        </w:rPr>
        <w:t>In June 2011, the Company entered into a credit agreement (the “Credit Agreement”) providing for a U.S. $450 million, AUD 50 million four year revolving credit facility (the “Facility”), with each of the lenders party thereto, JPMorgan Chase Bank, N.A., as Administrative Agent (“JP Morgan”), and J.P. Morgan Australia Limited, as Australian Sub-Agent. The Facility replaced the Company’s previous revolving credit agreement. The Facility will expire on June 17, 2015, unless the Company and the banks agree to extend the term.</w:t>
      </w:r>
    </w:p>
    <w:p>
      <w:pPr>
        <w:spacing w:after="0" w:line="212"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In November 2011, Standard &amp; Poor’s lowered the Company’s long-term corporate debt rating from “A-” to “BBB+” and changed the outlook from Negative to Stable. Standard &amp; Poor’s kept the short-term rating unchanged at “A-2.” In November 2011, Moody’s downgraded the Company’s senior unsecured rating from “A2” to “A3” and the commercial paper rating from “Prime-1” to “Prime-2.” The outlook was changed from Rating Under Review to Negative. In May 2012, Standard &amp; Poor’s affirmed the Company’s credit ratings, but revised the outlook from Stable to Negative. In August 2012, Standard &amp; Poor’s placed the Company’s long and short-term credit ratings on Credit Watch with negative implications. In September 2012, Standard &amp; Poor’s lowered the Company’s long-term and short-term corporate debt rating from “BBB+” to “BBB” and from “A2” to “A3,” respectively. S&amp;P removed the Company from Credit Watch, but left the outlook at Negative. In July 2012, Moody’s changed the outlook of the Company’s long-term debt rating from Negative to Rating Under Review. In August 2012, Moody’s downgraded the Company’s senior unsecured rating from “A3” to “Baa1” and changed the outlook to Negative. The Company’s current credit ratings are as follows:</w:t>
      </w:r>
    </w:p>
    <w:tbl>
      <w:tblPr>
        <w:tblLayout w:type="fixed"/>
        <w:tblInd w:w="0" w:type="dxa"/>
        <w:tblCellMar>
          <w:top w:w="0" w:type="dxa"/>
          <w:left w:w="0" w:type="dxa"/>
          <w:bottom w:w="0" w:type="dxa"/>
          <w:right w:w="0" w:type="dxa"/>
        </w:tblCellMar>
      </w:tblPr>
      <w:tr>
        <w:trPr>
          <w:trHeight w:val="127"/>
        </w:trPr>
        <w:tc>
          <w:tcPr>
            <w:tcW w:w="4940" w:type="dxa"/>
            <w:vAlign w:val="bottom"/>
          </w:tcPr>
          <w:p>
            <w:pPr>
              <w:spacing w:after="0"/>
              <w:rPr>
                <w:sz w:val="11"/>
                <w:szCs w:val="11"/>
                <w:color w:val="auto"/>
              </w:rPr>
            </w:pPr>
          </w:p>
        </w:tc>
        <w:tc>
          <w:tcPr>
            <w:tcW w:w="5400" w:type="dxa"/>
            <w:vAlign w:val="bottom"/>
          </w:tcPr>
          <w:p>
            <w:pPr>
              <w:spacing w:after="0"/>
              <w:rPr>
                <w:sz w:val="11"/>
                <w:szCs w:val="11"/>
                <w:color w:val="auto"/>
              </w:rPr>
            </w:pPr>
          </w:p>
        </w:tc>
        <w:tc>
          <w:tcPr>
            <w:tcW w:w="1080" w:type="dxa"/>
            <w:vAlign w:val="bottom"/>
          </w:tcPr>
          <w:p>
            <w:pPr>
              <w:jc w:val="right"/>
              <w:ind w:right="212"/>
              <w:spacing w:after="0" w:line="127" w:lineRule="exact"/>
              <w:rPr>
                <w:sz w:val="20"/>
                <w:szCs w:val="20"/>
                <w:color w:val="auto"/>
              </w:rPr>
            </w:pPr>
            <w:r>
              <w:rPr>
                <w:rFonts w:ascii="Arial" w:cs="Arial" w:eastAsia="Arial" w:hAnsi="Arial"/>
                <w:sz w:val="12"/>
                <w:szCs w:val="12"/>
                <w:b w:val="1"/>
                <w:bCs w:val="1"/>
                <w:color w:val="auto"/>
              </w:rPr>
              <w:t>Standard</w:t>
            </w:r>
          </w:p>
        </w:tc>
      </w:tr>
      <w:tr>
        <w:trPr>
          <w:trHeight w:val="151"/>
        </w:trPr>
        <w:tc>
          <w:tcPr>
            <w:tcW w:w="4940" w:type="dxa"/>
            <w:vAlign w:val="bottom"/>
            <w:tcBorders>
              <w:bottom w:val="single" w:sz="8" w:color="auto"/>
            </w:tcBorders>
          </w:tcPr>
          <w:p>
            <w:pPr>
              <w:spacing w:after="0"/>
              <w:rPr>
                <w:sz w:val="13"/>
                <w:szCs w:val="13"/>
                <w:color w:val="auto"/>
              </w:rPr>
            </w:pPr>
          </w:p>
        </w:tc>
        <w:tc>
          <w:tcPr>
            <w:tcW w:w="5400" w:type="dxa"/>
            <w:vAlign w:val="bottom"/>
            <w:tcBorders>
              <w:bottom w:val="single" w:sz="8" w:color="auto"/>
            </w:tcBorders>
          </w:tcPr>
          <w:p>
            <w:pPr>
              <w:jc w:val="right"/>
              <w:ind w:right="570"/>
              <w:spacing w:after="0"/>
              <w:rPr>
                <w:sz w:val="20"/>
                <w:szCs w:val="20"/>
                <w:color w:val="auto"/>
              </w:rPr>
            </w:pPr>
            <w:r>
              <w:rPr>
                <w:rFonts w:ascii="Arial" w:cs="Arial" w:eastAsia="Arial" w:hAnsi="Arial"/>
                <w:sz w:val="12"/>
                <w:szCs w:val="12"/>
                <w:b w:val="1"/>
                <w:bCs w:val="1"/>
                <w:color w:val="auto"/>
              </w:rPr>
              <w:t>Moody’s</w:t>
            </w:r>
          </w:p>
        </w:tc>
        <w:tc>
          <w:tcPr>
            <w:tcW w:w="1080" w:type="dxa"/>
            <w:vAlign w:val="bottom"/>
            <w:tcBorders>
              <w:bottom w:val="single" w:sz="8" w:color="auto"/>
            </w:tcBorders>
          </w:tcPr>
          <w:p>
            <w:pPr>
              <w:jc w:val="right"/>
              <w:ind w:right="232"/>
              <w:spacing w:after="0"/>
              <w:rPr>
                <w:sz w:val="20"/>
                <w:szCs w:val="20"/>
                <w:color w:val="auto"/>
              </w:rPr>
            </w:pPr>
            <w:r>
              <w:rPr>
                <w:rFonts w:ascii="Arial" w:cs="Arial" w:eastAsia="Arial" w:hAnsi="Arial"/>
                <w:sz w:val="12"/>
                <w:szCs w:val="12"/>
                <w:b w:val="1"/>
                <w:bCs w:val="1"/>
                <w:color w:val="auto"/>
              </w:rPr>
              <w:t>&amp; Poor’s</w:t>
            </w:r>
          </w:p>
        </w:tc>
      </w:tr>
      <w:tr>
        <w:trPr>
          <w:trHeight w:val="168"/>
        </w:trPr>
        <w:tc>
          <w:tcPr>
            <w:tcW w:w="4940" w:type="dxa"/>
            <w:vAlign w:val="bottom"/>
          </w:tcPr>
          <w:p>
            <w:pPr>
              <w:spacing w:after="0" w:line="168" w:lineRule="exact"/>
              <w:rPr>
                <w:sz w:val="20"/>
                <w:szCs w:val="20"/>
                <w:color w:val="auto"/>
              </w:rPr>
            </w:pPr>
            <w:r>
              <w:rPr>
                <w:rFonts w:ascii="Arial" w:cs="Arial" w:eastAsia="Arial" w:hAnsi="Arial"/>
                <w:sz w:val="15"/>
                <w:szCs w:val="15"/>
                <w:color w:val="auto"/>
              </w:rPr>
              <w:t>Long-term</w:t>
            </w:r>
          </w:p>
        </w:tc>
        <w:tc>
          <w:tcPr>
            <w:tcW w:w="5400" w:type="dxa"/>
            <w:vAlign w:val="bottom"/>
          </w:tcPr>
          <w:p>
            <w:pPr>
              <w:jc w:val="right"/>
              <w:ind w:right="190"/>
              <w:spacing w:after="0" w:line="168" w:lineRule="exact"/>
              <w:rPr>
                <w:sz w:val="20"/>
                <w:szCs w:val="20"/>
                <w:color w:val="auto"/>
              </w:rPr>
            </w:pPr>
            <w:r>
              <w:rPr>
                <w:rFonts w:ascii="Arial" w:cs="Arial" w:eastAsia="Arial" w:hAnsi="Arial"/>
                <w:sz w:val="15"/>
                <w:szCs w:val="15"/>
                <w:color w:val="auto"/>
              </w:rPr>
              <w:t>Baa1</w:t>
            </w:r>
          </w:p>
        </w:tc>
        <w:tc>
          <w:tcPr>
            <w:tcW w:w="1080" w:type="dxa"/>
            <w:vAlign w:val="bottom"/>
          </w:tcPr>
          <w:p>
            <w:pPr>
              <w:jc w:val="right"/>
              <w:spacing w:after="0" w:line="168" w:lineRule="exact"/>
              <w:rPr>
                <w:sz w:val="20"/>
                <w:szCs w:val="20"/>
                <w:color w:val="auto"/>
              </w:rPr>
            </w:pPr>
            <w:r>
              <w:rPr>
                <w:rFonts w:ascii="Arial" w:cs="Arial" w:eastAsia="Arial" w:hAnsi="Arial"/>
                <w:sz w:val="15"/>
                <w:szCs w:val="15"/>
                <w:color w:val="auto"/>
              </w:rPr>
              <w:t>BBB</w:t>
            </w:r>
          </w:p>
        </w:tc>
      </w:tr>
      <w:tr>
        <w:trPr>
          <w:trHeight w:val="179"/>
        </w:trPr>
        <w:tc>
          <w:tcPr>
            <w:tcW w:w="4940" w:type="dxa"/>
            <w:vAlign w:val="bottom"/>
          </w:tcPr>
          <w:p>
            <w:pPr>
              <w:spacing w:after="0"/>
              <w:rPr>
                <w:sz w:val="20"/>
                <w:szCs w:val="20"/>
                <w:color w:val="auto"/>
              </w:rPr>
            </w:pPr>
            <w:r>
              <w:rPr>
                <w:rFonts w:ascii="Arial" w:cs="Arial" w:eastAsia="Arial" w:hAnsi="Arial"/>
                <w:sz w:val="15"/>
                <w:szCs w:val="15"/>
                <w:color w:val="auto"/>
              </w:rPr>
              <w:t>Short-term</w:t>
            </w:r>
          </w:p>
        </w:tc>
        <w:tc>
          <w:tcPr>
            <w:tcW w:w="5400" w:type="dxa"/>
            <w:vAlign w:val="bottom"/>
          </w:tcPr>
          <w:p>
            <w:pPr>
              <w:jc w:val="right"/>
              <w:ind w:right="190"/>
              <w:spacing w:after="0"/>
              <w:rPr>
                <w:sz w:val="20"/>
                <w:szCs w:val="20"/>
                <w:color w:val="auto"/>
              </w:rPr>
            </w:pPr>
            <w:r>
              <w:rPr>
                <w:rFonts w:ascii="Arial" w:cs="Arial" w:eastAsia="Arial" w:hAnsi="Arial"/>
                <w:sz w:val="15"/>
                <w:szCs w:val="15"/>
                <w:color w:val="auto"/>
              </w:rPr>
              <w:t>Prime-2</w:t>
            </w:r>
          </w:p>
        </w:tc>
        <w:tc>
          <w:tcPr>
            <w:tcW w:w="1080" w:type="dxa"/>
            <w:vAlign w:val="bottom"/>
          </w:tcPr>
          <w:p>
            <w:pPr>
              <w:jc w:val="right"/>
              <w:spacing w:after="0"/>
              <w:rPr>
                <w:sz w:val="20"/>
                <w:szCs w:val="20"/>
                <w:color w:val="auto"/>
              </w:rPr>
            </w:pPr>
            <w:r>
              <w:rPr>
                <w:rFonts w:ascii="Arial" w:cs="Arial" w:eastAsia="Arial" w:hAnsi="Arial"/>
                <w:sz w:val="15"/>
                <w:szCs w:val="15"/>
                <w:color w:val="auto"/>
              </w:rPr>
              <w:t>A-3</w:t>
            </w:r>
          </w:p>
        </w:tc>
      </w:tr>
    </w:tbl>
    <w:p>
      <w:pPr>
        <w:spacing w:after="0" w:line="216"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During the third quarter of 2012 and 2011, the Company had average borrowings outstanding of approximately $456.3 million and $417.6 million, respectively, at average annual interest rates of approximately 7.0% and 7.2%. During the third quarter of 2012 and 2011, the Company incurred net interest expense of $8.1 million and $7.7 million, respectively.</w:t>
      </w:r>
    </w:p>
    <w:p>
      <w:pPr>
        <w:spacing w:after="0" w:line="213" w:lineRule="exact"/>
        <w:rPr>
          <w:sz w:val="20"/>
          <w:szCs w:val="20"/>
          <w:color w:val="auto"/>
        </w:rPr>
      </w:pPr>
    </w:p>
    <w:p>
      <w:pPr>
        <w:ind w:right="320"/>
        <w:spacing w:after="0" w:line="233" w:lineRule="auto"/>
        <w:rPr>
          <w:sz w:val="20"/>
          <w:szCs w:val="20"/>
          <w:color w:val="auto"/>
        </w:rPr>
      </w:pPr>
      <w:r>
        <w:rPr>
          <w:rFonts w:ascii="Arial" w:cs="Arial" w:eastAsia="Arial" w:hAnsi="Arial"/>
          <w:sz w:val="17"/>
          <w:szCs w:val="17"/>
          <w:color w:val="auto"/>
        </w:rPr>
        <w:t>During the nine months ended September 30, 2012 and October 2, 2011, the Company had average borrowings outstanding of approximately $467.3 million and $406.9 million, respectively, at average annual interest rates of approximately 7.0% and 7.2%. During the nine months ended September 30, 2012 and October 2, 2011, the Company incurred net interest expense of $24.4 million and $21.6 million, respectively.</w:t>
      </w:r>
    </w:p>
    <w:p>
      <w:pPr>
        <w:spacing w:after="0" w:line="188" w:lineRule="exact"/>
        <w:rPr>
          <w:sz w:val="20"/>
          <w:szCs w:val="20"/>
          <w:color w:val="auto"/>
        </w:rPr>
      </w:pPr>
    </w:p>
    <w:p>
      <w:pPr>
        <w:ind w:right="60"/>
        <w:spacing w:after="0" w:line="231" w:lineRule="auto"/>
        <w:rPr>
          <w:sz w:val="20"/>
          <w:szCs w:val="20"/>
          <w:color w:val="auto"/>
        </w:rPr>
      </w:pPr>
      <w:r>
        <w:rPr>
          <w:rFonts w:ascii="Arial" w:cs="Arial" w:eastAsia="Arial" w:hAnsi="Arial"/>
          <w:sz w:val="17"/>
          <w:szCs w:val="17"/>
          <w:color w:val="auto"/>
        </w:rPr>
        <w:t>At September 30, 2012 and December 31, 2011, the Company had working capital of $373.1 million and $250.1 million, respectively. The Company maintains working capital levels consistent with its underlying business requirements and consistently generates cash from operations in excess of required interest or principal payments. The Company expects to fund its estimated capital needs primarily through existing cash balances and internally generated funds and to a lesser extent borrowings supported by our Credit Agreement. In management’s opinion, the Company will have ample liquidity to meet its various cash needs throughout 2012.</w:t>
      </w:r>
    </w:p>
    <w:p>
      <w:pPr>
        <w:spacing w:after="0" w:line="176"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Except for a lease commitment totaling $42.9 million from 2013 through 2019, there were no significant changes to the Company’s contractual obligations or other commercial commitments from those disclosed in the Company’s Annual Report on Form 10-K for the year ended December 31, 2011.</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Forward-Looking Statements</w:t>
      </w:r>
    </w:p>
    <w:p>
      <w:pPr>
        <w:spacing w:after="0" w:line="197" w:lineRule="exact"/>
        <w:rPr>
          <w:sz w:val="20"/>
          <w:szCs w:val="20"/>
          <w:color w:val="auto"/>
        </w:rPr>
      </w:pPr>
    </w:p>
    <w:p>
      <w:pPr>
        <w:ind w:right="120"/>
        <w:spacing w:after="0" w:line="232" w:lineRule="auto"/>
        <w:rPr>
          <w:sz w:val="20"/>
          <w:szCs w:val="20"/>
          <w:color w:val="auto"/>
        </w:rPr>
      </w:pPr>
      <w:r>
        <w:rPr>
          <w:rFonts w:ascii="Arial" w:cs="Arial" w:eastAsia="Arial" w:hAnsi="Arial"/>
          <w:sz w:val="17"/>
          <w:szCs w:val="17"/>
          <w:color w:val="auto"/>
        </w:rPr>
        <w:t>This report contains certain forward-looking statements that are based largely on the Company’s current expectations. Forward-looking statements are subject to certain risks and uncertainties that could cause actual results and achievements to differ materially from those expressed in the forward-looking statements. For more information about these forward-looking statements and related risks, please refer to the section titled “Forward-Looking Statements” in Part I of the Company’s Annual Report on Form 10-K.</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97"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The Company is exposed to market risk in the normal course of its business due primarily to its ownership of marketable equity securities, which are subject to equity price risk; to its borrowing and cash-management activities, which are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0"/>
          </w:cols>
          <w:pgMar w:left="240" w:top="809" w:right="239" w:bottom="1440" w:gutter="0" w:footer="0" w:header="0"/>
        </w:sectPr>
      </w:pPr>
    </w:p>
    <w:bookmarkStart w:id="33" w:name="page34"/>
    <w:bookmarkEnd w:id="33"/>
    <w:p>
      <w:pPr>
        <w:ind w:left="1" w:right="180"/>
        <w:spacing w:after="0" w:line="235" w:lineRule="auto"/>
        <w:rPr>
          <w:sz w:val="20"/>
          <w:szCs w:val="20"/>
          <w:color w:val="auto"/>
        </w:rPr>
      </w:pPr>
      <w:r>
        <w:rPr>
          <w:rFonts w:ascii="Arial" w:cs="Arial" w:eastAsia="Arial" w:hAnsi="Arial"/>
          <w:sz w:val="17"/>
          <w:szCs w:val="17"/>
          <w:color w:val="auto"/>
        </w:rPr>
        <w:t>subject to interest rate risk; and to its foreign business operations, which are subject to foreign exchange rate risk. The Company’s market risk disclosures set forth in its 2011 Annual Report filed on Form 10-K have not otherwise changed significantly.</w:t>
      </w:r>
    </w:p>
    <w:p>
      <w:pPr>
        <w:spacing w:after="0" w:line="193" w:lineRule="exact"/>
        <w:rPr>
          <w:sz w:val="20"/>
          <w:szCs w:val="20"/>
          <w:color w:val="auto"/>
        </w:rPr>
      </w:pPr>
    </w:p>
    <w:p>
      <w:pPr>
        <w:ind w:left="1"/>
        <w:spacing w:after="0"/>
        <w:tabs>
          <w:tab w:leader="none" w:pos="8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(a) Evaluation of Disclosure Controls and Procedures</w:t>
      </w:r>
    </w:p>
    <w:p>
      <w:pPr>
        <w:spacing w:after="0" w:line="110" w:lineRule="exact"/>
        <w:rPr>
          <w:sz w:val="20"/>
          <w:szCs w:val="20"/>
          <w:color w:val="auto"/>
        </w:rPr>
      </w:pPr>
    </w:p>
    <w:p>
      <w:pPr>
        <w:ind w:left="1"/>
        <w:spacing w:after="0" w:line="230" w:lineRule="auto"/>
        <w:rPr>
          <w:sz w:val="20"/>
          <w:szCs w:val="20"/>
          <w:color w:val="auto"/>
        </w:rPr>
      </w:pPr>
      <w:r>
        <w:rPr>
          <w:rFonts w:ascii="Arial" w:cs="Arial" w:eastAsia="Arial" w:hAnsi="Arial"/>
          <w:sz w:val="17"/>
          <w:szCs w:val="17"/>
          <w:color w:val="auto"/>
        </w:rPr>
        <w:t>An evaluation was performed by the Company’s management, with the participation of the Company’s Chief Executive Officer (the Company’s principal executive officer) and the Company’s Senior Vice President-Finance (the Company’s principal financial officer), of the effectiveness of the Company’s disclosure controls and procedures (as defined in Exchange Act Rules 13a-15(e) and 15d-15(e)), as of September 30, 2012. Based on that evaluation, the Company’s Chief Executive Officer and Senior Vice President-Finance have concluded that the Company’s disclosure controls and procedures, as designed and implemented, are effective in ensuring that information required to be disclosed by the Company in the reports that it files or submits under the Exchange Act is recorded, processed, summarized and reported, within the time periods specified in the Securities and Exchange Commission’s rules and forms and is accumulated and communicated to management, including the Chief Executive Officer and Senior Vice President-Finance, in a manner that allows timely decisions regarding required disclosure.</w:t>
      </w:r>
    </w:p>
    <w:p>
      <w:pPr>
        <w:spacing w:after="0" w:line="7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(b) Changes in Internal Control Over Financial Reporting</w:t>
      </w:r>
    </w:p>
    <w:p>
      <w:pPr>
        <w:spacing w:after="0" w:line="160" w:lineRule="exact"/>
        <w:rPr>
          <w:sz w:val="20"/>
          <w:szCs w:val="20"/>
          <w:color w:val="auto"/>
        </w:rPr>
      </w:pPr>
    </w:p>
    <w:p>
      <w:pPr>
        <w:ind w:left="1" w:right="480"/>
        <w:spacing w:after="0" w:line="235" w:lineRule="auto"/>
        <w:rPr>
          <w:sz w:val="20"/>
          <w:szCs w:val="20"/>
          <w:color w:val="auto"/>
        </w:rPr>
      </w:pPr>
      <w:r>
        <w:rPr>
          <w:rFonts w:ascii="Arial" w:cs="Arial" w:eastAsia="Arial" w:hAnsi="Arial"/>
          <w:sz w:val="17"/>
          <w:szCs w:val="17"/>
          <w:color w:val="auto"/>
        </w:rPr>
        <w:t>There has been no change in the Company’s internal control over financial reporting during the quarter ended September 30, 2012 that has materially affected, or is reasonably likely to materially affect, the Company’s internal control over financial reporting.</w:t>
      </w:r>
    </w:p>
    <w:p>
      <w:pPr>
        <w:spacing w:after="0" w:line="391" w:lineRule="exact"/>
        <w:rPr>
          <w:sz w:val="20"/>
          <w:szCs w:val="20"/>
          <w:color w:val="auto"/>
        </w:rPr>
      </w:pPr>
    </w:p>
    <w:p>
      <w:pPr>
        <w:ind w:left="4501"/>
        <w:spacing w:after="0"/>
        <w:rPr>
          <w:sz w:val="20"/>
          <w:szCs w:val="20"/>
          <w:color w:val="auto"/>
        </w:rPr>
      </w:pPr>
      <w:r>
        <w:rPr>
          <w:rFonts w:ascii="Arial" w:cs="Arial" w:eastAsia="Arial" w:hAnsi="Arial"/>
          <w:sz w:val="17"/>
          <w:szCs w:val="17"/>
          <w:b w:val="1"/>
          <w:bCs w:val="1"/>
          <w:color w:val="auto"/>
        </w:rPr>
        <w:t>PART II. OTHER INFORMATION</w:t>
      </w:r>
    </w:p>
    <w:p>
      <w:pPr>
        <w:spacing w:after="0" w:line="214" w:lineRule="exact"/>
        <w:rPr>
          <w:sz w:val="20"/>
          <w:szCs w:val="20"/>
          <w:color w:val="auto"/>
        </w:rPr>
      </w:pPr>
    </w:p>
    <w:p>
      <w:pPr>
        <w:ind w:left="1"/>
        <w:spacing w:after="0"/>
        <w:tabs>
          <w:tab w:leader="none" w:pos="8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40" w:lineRule="exact"/>
        <w:rPr>
          <w:sz w:val="20"/>
          <w:szCs w:val="20"/>
          <w:color w:val="auto"/>
        </w:rPr>
      </w:pPr>
    </w:p>
    <w:p>
      <w:pPr>
        <w:ind w:left="1"/>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160" w:lineRule="exact"/>
        <w:rPr>
          <w:sz w:val="20"/>
          <w:szCs w:val="20"/>
          <w:color w:val="auto"/>
        </w:rPr>
      </w:pPr>
    </w:p>
    <w:p>
      <w:pPr>
        <w:ind w:left="1"/>
        <w:spacing w:after="0"/>
        <w:rPr>
          <w:sz w:val="20"/>
          <w:szCs w:val="20"/>
          <w:color w:val="auto"/>
        </w:rPr>
      </w:pPr>
      <w:r>
        <w:rPr>
          <w:rFonts w:ascii="Arial" w:cs="Arial" w:eastAsia="Arial" w:hAnsi="Arial"/>
          <w:sz w:val="17"/>
          <w:szCs w:val="17"/>
          <w:color w:val="auto"/>
        </w:rPr>
        <w:t>During the quarter ended September 30, 2012, the Company purchased shares of its Class B Common Stock as set forth in the following table:</w:t>
      </w:r>
    </w:p>
    <w:p>
      <w:pPr>
        <w:spacing w:after="0" w:line="286" w:lineRule="exact"/>
        <w:rPr>
          <w:sz w:val="20"/>
          <w:szCs w:val="20"/>
          <w:color w:val="auto"/>
        </w:rPr>
      </w:pPr>
    </w:p>
    <w:tbl>
      <w:tblPr>
        <w:tblLayout w:type="fixed"/>
        <w:tblInd w:w="1"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jc w:val="center"/>
              <w:ind w:right="552"/>
              <w:spacing w:after="0"/>
              <w:rPr>
                <w:sz w:val="20"/>
                <w:szCs w:val="20"/>
                <w:color w:val="auto"/>
              </w:rPr>
            </w:pPr>
            <w:r>
              <w:rPr>
                <w:rFonts w:ascii="Arial" w:cs="Arial" w:eastAsia="Arial" w:hAnsi="Arial"/>
                <w:sz w:val="12"/>
                <w:szCs w:val="12"/>
                <w:b w:val="1"/>
                <w:bCs w:val="1"/>
                <w:color w:val="auto"/>
              </w:rPr>
              <w:t>Average</w:t>
            </w: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rPr>
              <w:t>Total Number of</w:t>
            </w:r>
          </w:p>
        </w:tc>
        <w:tc>
          <w:tcPr>
            <w:tcW w:w="2260" w:type="dxa"/>
            <w:vAlign w:val="bottom"/>
          </w:tcPr>
          <w:p>
            <w:pPr>
              <w:jc w:val="center"/>
              <w:ind w:left="313"/>
              <w:spacing w:after="0"/>
              <w:rPr>
                <w:sz w:val="20"/>
                <w:szCs w:val="20"/>
                <w:color w:val="auto"/>
              </w:rPr>
            </w:pPr>
            <w:r>
              <w:rPr>
                <w:rFonts w:ascii="Arial" w:cs="Arial" w:eastAsia="Arial" w:hAnsi="Arial"/>
                <w:sz w:val="12"/>
                <w:szCs w:val="12"/>
                <w:b w:val="1"/>
                <w:bCs w:val="1"/>
                <w:color w:val="auto"/>
              </w:rPr>
              <w:t>Maximum Number</w:t>
            </w:r>
          </w:p>
        </w:tc>
      </w:tr>
      <w:tr>
        <w:trPr>
          <w:trHeight w:val="137"/>
        </w:trPr>
        <w:tc>
          <w:tcPr>
            <w:tcW w:w="458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Total Number</w:t>
            </w:r>
          </w:p>
        </w:tc>
        <w:tc>
          <w:tcPr>
            <w:tcW w:w="640" w:type="dxa"/>
            <w:vAlign w:val="bottom"/>
          </w:tcPr>
          <w:p>
            <w:pPr>
              <w:spacing w:after="0"/>
              <w:rPr>
                <w:sz w:val="11"/>
                <w:szCs w:val="11"/>
                <w:color w:val="auto"/>
              </w:rPr>
            </w:pPr>
          </w:p>
        </w:tc>
        <w:tc>
          <w:tcPr>
            <w:tcW w:w="1200" w:type="dxa"/>
            <w:vAlign w:val="bottom"/>
          </w:tcPr>
          <w:p>
            <w:pPr>
              <w:jc w:val="center"/>
              <w:ind w:right="552"/>
              <w:spacing w:after="0" w:line="137" w:lineRule="exact"/>
              <w:rPr>
                <w:sz w:val="20"/>
                <w:szCs w:val="20"/>
                <w:color w:val="auto"/>
              </w:rPr>
            </w:pPr>
            <w:r>
              <w:rPr>
                <w:rFonts w:ascii="Arial" w:cs="Arial" w:eastAsia="Arial" w:hAnsi="Arial"/>
                <w:sz w:val="12"/>
                <w:szCs w:val="12"/>
                <w:b w:val="1"/>
                <w:bCs w:val="1"/>
                <w:color w:val="auto"/>
              </w:rPr>
              <w:t>Price</w:t>
            </w:r>
          </w:p>
        </w:tc>
        <w:tc>
          <w:tcPr>
            <w:tcW w:w="14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Shares Purchased</w:t>
            </w:r>
          </w:p>
        </w:tc>
        <w:tc>
          <w:tcPr>
            <w:tcW w:w="2260" w:type="dxa"/>
            <w:vAlign w:val="bottom"/>
          </w:tcPr>
          <w:p>
            <w:pPr>
              <w:jc w:val="center"/>
              <w:ind w:left="273"/>
              <w:spacing w:after="0" w:line="137" w:lineRule="exact"/>
              <w:rPr>
                <w:sz w:val="20"/>
                <w:szCs w:val="20"/>
                <w:color w:val="auto"/>
              </w:rPr>
            </w:pPr>
            <w:r>
              <w:rPr>
                <w:rFonts w:ascii="Arial" w:cs="Arial" w:eastAsia="Arial" w:hAnsi="Arial"/>
                <w:sz w:val="12"/>
                <w:szCs w:val="12"/>
                <w:b w:val="1"/>
                <w:bCs w:val="1"/>
                <w:color w:val="auto"/>
              </w:rPr>
              <w:t>of Shares That May</w:t>
            </w:r>
          </w:p>
        </w:tc>
      </w:tr>
      <w:tr>
        <w:trPr>
          <w:trHeight w:val="137"/>
        </w:trPr>
        <w:tc>
          <w:tcPr>
            <w:tcW w:w="458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of Shares</w:t>
            </w:r>
          </w:p>
        </w:tc>
        <w:tc>
          <w:tcPr>
            <w:tcW w:w="640" w:type="dxa"/>
            <w:vAlign w:val="bottom"/>
          </w:tcPr>
          <w:p>
            <w:pPr>
              <w:spacing w:after="0"/>
              <w:rPr>
                <w:sz w:val="11"/>
                <w:szCs w:val="11"/>
                <w:color w:val="auto"/>
              </w:rPr>
            </w:pPr>
          </w:p>
        </w:tc>
        <w:tc>
          <w:tcPr>
            <w:tcW w:w="1200" w:type="dxa"/>
            <w:vAlign w:val="bottom"/>
          </w:tcPr>
          <w:p>
            <w:pPr>
              <w:jc w:val="center"/>
              <w:ind w:right="552"/>
              <w:spacing w:after="0" w:line="137" w:lineRule="exact"/>
              <w:rPr>
                <w:sz w:val="20"/>
                <w:szCs w:val="20"/>
                <w:color w:val="auto"/>
              </w:rPr>
            </w:pPr>
            <w:r>
              <w:rPr>
                <w:rFonts w:ascii="Arial" w:cs="Arial" w:eastAsia="Arial" w:hAnsi="Arial"/>
                <w:sz w:val="12"/>
                <w:szCs w:val="12"/>
                <w:b w:val="1"/>
                <w:bCs w:val="1"/>
                <w:color w:val="auto"/>
              </w:rPr>
              <w:t>Paid per</w:t>
            </w:r>
          </w:p>
        </w:tc>
        <w:tc>
          <w:tcPr>
            <w:tcW w:w="1480" w:type="dxa"/>
            <w:vAlign w:val="bottom"/>
          </w:tcPr>
          <w:p>
            <w:pPr>
              <w:jc w:val="center"/>
              <w:spacing w:after="0" w:line="137" w:lineRule="exact"/>
              <w:rPr>
                <w:sz w:val="20"/>
                <w:szCs w:val="20"/>
                <w:color w:val="auto"/>
              </w:rPr>
            </w:pPr>
            <w:r>
              <w:rPr>
                <w:rFonts w:ascii="Arial" w:cs="Arial" w:eastAsia="Arial" w:hAnsi="Arial"/>
                <w:sz w:val="12"/>
                <w:szCs w:val="12"/>
                <w:b w:val="1"/>
                <w:bCs w:val="1"/>
                <w:color w:val="auto"/>
              </w:rPr>
              <w:t>as Part of Publicly</w:t>
            </w:r>
          </w:p>
        </w:tc>
        <w:tc>
          <w:tcPr>
            <w:tcW w:w="2260" w:type="dxa"/>
            <w:vAlign w:val="bottom"/>
          </w:tcPr>
          <w:p>
            <w:pPr>
              <w:jc w:val="center"/>
              <w:ind w:left="273"/>
              <w:spacing w:after="0" w:line="137" w:lineRule="exact"/>
              <w:rPr>
                <w:sz w:val="20"/>
                <w:szCs w:val="20"/>
                <w:color w:val="auto"/>
              </w:rPr>
            </w:pPr>
            <w:r>
              <w:rPr>
                <w:rFonts w:ascii="Arial" w:cs="Arial" w:eastAsia="Arial" w:hAnsi="Arial"/>
                <w:sz w:val="12"/>
                <w:szCs w:val="12"/>
                <w:b w:val="1"/>
                <w:bCs w:val="1"/>
                <w:color w:val="auto"/>
              </w:rPr>
              <w:t>Yet Be Purchased</w:t>
            </w:r>
          </w:p>
        </w:tc>
      </w:tr>
      <w:tr>
        <w:trPr>
          <w:trHeight w:val="151"/>
        </w:trPr>
        <w:tc>
          <w:tcPr>
            <w:tcW w:w="45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Period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Purchased</w:t>
            </w:r>
          </w:p>
        </w:tc>
        <w:tc>
          <w:tcPr>
            <w:tcW w:w="6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552"/>
              <w:spacing w:after="0"/>
              <w:rPr>
                <w:sz w:val="20"/>
                <w:szCs w:val="20"/>
                <w:color w:val="auto"/>
              </w:rPr>
            </w:pPr>
            <w:r>
              <w:rPr>
                <w:rFonts w:ascii="Arial" w:cs="Arial" w:eastAsia="Arial" w:hAnsi="Arial"/>
                <w:sz w:val="12"/>
                <w:szCs w:val="12"/>
                <w:b w:val="1"/>
                <w:bCs w:val="1"/>
                <w:color w:val="auto"/>
              </w:rPr>
              <w:t>Share</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Announced Plan*</w:t>
            </w:r>
          </w:p>
        </w:tc>
        <w:tc>
          <w:tcPr>
            <w:tcW w:w="2260" w:type="dxa"/>
            <w:vAlign w:val="bottom"/>
            <w:tcBorders>
              <w:bottom w:val="single" w:sz="8" w:color="auto"/>
            </w:tcBorders>
          </w:tcPr>
          <w:p>
            <w:pPr>
              <w:jc w:val="center"/>
              <w:ind w:left="273"/>
              <w:spacing w:after="0"/>
              <w:rPr>
                <w:sz w:val="20"/>
                <w:szCs w:val="20"/>
                <w:color w:val="auto"/>
              </w:rPr>
            </w:pPr>
            <w:r>
              <w:rPr>
                <w:rFonts w:ascii="Arial" w:cs="Arial" w:eastAsia="Arial" w:hAnsi="Arial"/>
                <w:sz w:val="12"/>
                <w:szCs w:val="12"/>
                <w:b w:val="1"/>
                <w:bCs w:val="1"/>
                <w:color w:val="auto"/>
              </w:rPr>
              <w:t>Under the Plan*</w:t>
            </w:r>
          </w:p>
        </w:tc>
      </w:tr>
      <w:tr>
        <w:trPr>
          <w:trHeight w:val="168"/>
        </w:trPr>
        <w:tc>
          <w:tcPr>
            <w:tcW w:w="4580" w:type="dxa"/>
            <w:vAlign w:val="bottom"/>
          </w:tcPr>
          <w:p>
            <w:pPr>
              <w:spacing w:after="0" w:line="168" w:lineRule="exact"/>
              <w:rPr>
                <w:sz w:val="20"/>
                <w:szCs w:val="20"/>
                <w:color w:val="auto"/>
              </w:rPr>
            </w:pPr>
            <w:r>
              <w:rPr>
                <w:rFonts w:ascii="Arial" w:cs="Arial" w:eastAsia="Arial" w:hAnsi="Arial"/>
                <w:sz w:val="15"/>
                <w:szCs w:val="15"/>
                <w:color w:val="auto"/>
              </w:rPr>
              <w:t>Jul. 1 - Jul. 31, 2012</w:t>
            </w:r>
          </w:p>
        </w:tc>
        <w:tc>
          <w:tcPr>
            <w:tcW w:w="126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64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1200" w:type="dxa"/>
            <w:vAlign w:val="bottom"/>
          </w:tcPr>
          <w:p>
            <w:pPr>
              <w:jc w:val="right"/>
              <w:ind w:right="312"/>
              <w:spacing w:after="0" w:line="168" w:lineRule="exact"/>
              <w:rPr>
                <w:sz w:val="20"/>
                <w:szCs w:val="20"/>
                <w:color w:val="auto"/>
              </w:rPr>
            </w:pPr>
            <w:r>
              <w:rPr>
                <w:rFonts w:ascii="Arial" w:cs="Arial" w:eastAsia="Arial" w:hAnsi="Arial"/>
                <w:sz w:val="15"/>
                <w:szCs w:val="15"/>
                <w:color w:val="auto"/>
              </w:rPr>
              <w:t>―</w:t>
            </w:r>
          </w:p>
        </w:tc>
        <w:tc>
          <w:tcPr>
            <w:tcW w:w="1480" w:type="dxa"/>
            <w:vAlign w:val="bottom"/>
          </w:tcPr>
          <w:p>
            <w:pPr>
              <w:jc w:val="right"/>
              <w:spacing w:after="0" w:line="168" w:lineRule="exact"/>
              <w:rPr>
                <w:sz w:val="20"/>
                <w:szCs w:val="20"/>
                <w:color w:val="auto"/>
              </w:rPr>
            </w:pPr>
            <w:r>
              <w:rPr>
                <w:rFonts w:ascii="Arial" w:cs="Arial" w:eastAsia="Arial" w:hAnsi="Arial"/>
                <w:sz w:val="15"/>
                <w:szCs w:val="15"/>
                <w:color w:val="auto"/>
              </w:rPr>
              <w:t>―</w:t>
            </w:r>
          </w:p>
        </w:tc>
        <w:tc>
          <w:tcPr>
            <w:tcW w:w="2260" w:type="dxa"/>
            <w:vAlign w:val="bottom"/>
          </w:tcPr>
          <w:p>
            <w:pPr>
              <w:jc w:val="right"/>
              <w:spacing w:after="0" w:line="168" w:lineRule="exact"/>
              <w:rPr>
                <w:sz w:val="20"/>
                <w:szCs w:val="20"/>
                <w:color w:val="auto"/>
              </w:rPr>
            </w:pPr>
            <w:r>
              <w:rPr>
                <w:rFonts w:ascii="Arial" w:cs="Arial" w:eastAsia="Arial" w:hAnsi="Arial"/>
                <w:sz w:val="15"/>
                <w:szCs w:val="15"/>
                <w:color w:val="auto"/>
              </w:rPr>
              <w:t>275,192</w:t>
            </w:r>
          </w:p>
        </w:tc>
      </w:tr>
      <w:tr>
        <w:trPr>
          <w:trHeight w:val="174"/>
        </w:trPr>
        <w:tc>
          <w:tcPr>
            <w:tcW w:w="4580" w:type="dxa"/>
            <w:vAlign w:val="bottom"/>
          </w:tcPr>
          <w:p>
            <w:pPr>
              <w:spacing w:after="0"/>
              <w:rPr>
                <w:sz w:val="20"/>
                <w:szCs w:val="20"/>
                <w:color w:val="auto"/>
              </w:rPr>
            </w:pPr>
            <w:r>
              <w:rPr>
                <w:rFonts w:ascii="Arial" w:cs="Arial" w:eastAsia="Arial" w:hAnsi="Arial"/>
                <w:sz w:val="15"/>
                <w:szCs w:val="15"/>
                <w:color w:val="auto"/>
              </w:rPr>
              <w:t>Aug. 1 - Aug. 31, 2012</w:t>
            </w:r>
          </w:p>
        </w:tc>
        <w:tc>
          <w:tcPr>
            <w:tcW w:w="1260" w:type="dxa"/>
            <w:vAlign w:val="bottom"/>
          </w:tcPr>
          <w:p>
            <w:pPr>
              <w:jc w:val="right"/>
              <w:spacing w:after="0"/>
              <w:rPr>
                <w:sz w:val="20"/>
                <w:szCs w:val="20"/>
                <w:color w:val="auto"/>
              </w:rPr>
            </w:pPr>
            <w:r>
              <w:rPr>
                <w:rFonts w:ascii="Arial" w:cs="Arial" w:eastAsia="Arial" w:hAnsi="Arial"/>
                <w:sz w:val="15"/>
                <w:szCs w:val="15"/>
                <w:color w:val="auto"/>
              </w:rPr>
              <w:t>44,986</w:t>
            </w:r>
          </w:p>
        </w:tc>
        <w:tc>
          <w:tcPr>
            <w:tcW w:w="640" w:type="dxa"/>
            <w:vAlign w:val="bottom"/>
          </w:tcPr>
          <w:p>
            <w:pPr>
              <w:spacing w:after="0"/>
              <w:rPr>
                <w:sz w:val="15"/>
                <w:szCs w:val="15"/>
                <w:color w:val="auto"/>
              </w:rPr>
            </w:pPr>
          </w:p>
        </w:tc>
        <w:tc>
          <w:tcPr>
            <w:tcW w:w="1200" w:type="dxa"/>
            <w:vAlign w:val="bottom"/>
          </w:tcPr>
          <w:p>
            <w:pPr>
              <w:jc w:val="right"/>
              <w:ind w:right="312"/>
              <w:spacing w:after="0"/>
              <w:rPr>
                <w:sz w:val="20"/>
                <w:szCs w:val="20"/>
                <w:color w:val="auto"/>
              </w:rPr>
            </w:pPr>
            <w:r>
              <w:rPr>
                <w:rFonts w:ascii="Arial" w:cs="Arial" w:eastAsia="Arial" w:hAnsi="Arial"/>
                <w:sz w:val="15"/>
                <w:szCs w:val="15"/>
                <w:color w:val="auto"/>
              </w:rPr>
              <w:t>347.66</w:t>
            </w:r>
          </w:p>
        </w:tc>
        <w:tc>
          <w:tcPr>
            <w:tcW w:w="1480" w:type="dxa"/>
            <w:vAlign w:val="bottom"/>
          </w:tcPr>
          <w:p>
            <w:pPr>
              <w:jc w:val="right"/>
              <w:spacing w:after="0"/>
              <w:rPr>
                <w:sz w:val="20"/>
                <w:szCs w:val="20"/>
                <w:color w:val="auto"/>
              </w:rPr>
            </w:pPr>
            <w:r>
              <w:rPr>
                <w:rFonts w:ascii="Arial" w:cs="Arial" w:eastAsia="Arial" w:hAnsi="Arial"/>
                <w:sz w:val="15"/>
                <w:szCs w:val="15"/>
                <w:color w:val="auto"/>
              </w:rPr>
              <w:t>44,986</w:t>
            </w:r>
          </w:p>
        </w:tc>
        <w:tc>
          <w:tcPr>
            <w:tcW w:w="2260" w:type="dxa"/>
            <w:vAlign w:val="bottom"/>
          </w:tcPr>
          <w:p>
            <w:pPr>
              <w:jc w:val="right"/>
              <w:spacing w:after="0"/>
              <w:rPr>
                <w:sz w:val="20"/>
                <w:szCs w:val="20"/>
                <w:color w:val="auto"/>
              </w:rPr>
            </w:pPr>
            <w:r>
              <w:rPr>
                <w:rFonts w:ascii="Arial" w:cs="Arial" w:eastAsia="Arial" w:hAnsi="Arial"/>
                <w:sz w:val="15"/>
                <w:szCs w:val="15"/>
                <w:color w:val="auto"/>
              </w:rPr>
              <w:t>230,206</w:t>
            </w:r>
          </w:p>
        </w:tc>
      </w:tr>
      <w:tr>
        <w:trPr>
          <w:trHeight w:val="172"/>
        </w:trPr>
        <w:tc>
          <w:tcPr>
            <w:tcW w:w="4580" w:type="dxa"/>
            <w:vAlign w:val="bottom"/>
          </w:tcPr>
          <w:p>
            <w:pPr>
              <w:spacing w:after="0"/>
              <w:rPr>
                <w:sz w:val="20"/>
                <w:szCs w:val="20"/>
                <w:color w:val="auto"/>
              </w:rPr>
            </w:pPr>
            <w:r>
              <w:rPr>
                <w:rFonts w:ascii="Arial" w:cs="Arial" w:eastAsia="Arial" w:hAnsi="Arial"/>
                <w:sz w:val="15"/>
                <w:szCs w:val="15"/>
                <w:color w:val="auto"/>
              </w:rPr>
              <w:t>Sep. 1 - Sep. 30, 2012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21,282</w:t>
            </w:r>
          </w:p>
        </w:tc>
        <w:tc>
          <w:tcPr>
            <w:tcW w:w="640" w:type="dxa"/>
            <w:vAlign w:val="bottom"/>
          </w:tcPr>
          <w:p>
            <w:pPr>
              <w:spacing w:after="0"/>
              <w:rPr>
                <w:sz w:val="14"/>
                <w:szCs w:val="14"/>
                <w:color w:val="auto"/>
              </w:rPr>
            </w:pPr>
          </w:p>
        </w:tc>
        <w:tc>
          <w:tcPr>
            <w:tcW w:w="1200" w:type="dxa"/>
            <w:vAlign w:val="bottom"/>
          </w:tcPr>
          <w:p>
            <w:pPr>
              <w:jc w:val="right"/>
              <w:ind w:right="312"/>
              <w:spacing w:after="0"/>
              <w:rPr>
                <w:sz w:val="20"/>
                <w:szCs w:val="20"/>
                <w:color w:val="auto"/>
              </w:rPr>
            </w:pPr>
            <w:r>
              <w:rPr>
                <w:rFonts w:ascii="Arial" w:cs="Arial" w:eastAsia="Arial" w:hAnsi="Arial"/>
                <w:sz w:val="15"/>
                <w:szCs w:val="15"/>
                <w:color w:val="auto"/>
              </w:rPr>
              <w:t>349.10</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21,282</w:t>
            </w:r>
          </w:p>
        </w:tc>
        <w:tc>
          <w:tcPr>
            <w:tcW w:w="2260" w:type="dxa"/>
            <w:vAlign w:val="bottom"/>
          </w:tcPr>
          <w:p>
            <w:pPr>
              <w:jc w:val="right"/>
              <w:spacing w:after="0"/>
              <w:rPr>
                <w:sz w:val="20"/>
                <w:szCs w:val="20"/>
                <w:color w:val="auto"/>
              </w:rPr>
            </w:pPr>
            <w:r>
              <w:rPr>
                <w:rFonts w:ascii="Arial" w:cs="Arial" w:eastAsia="Arial" w:hAnsi="Arial"/>
                <w:sz w:val="15"/>
                <w:szCs w:val="15"/>
                <w:color w:val="auto"/>
              </w:rPr>
              <w:t>208,924</w:t>
            </w:r>
          </w:p>
        </w:tc>
      </w:tr>
      <w:tr>
        <w:trPr>
          <w:trHeight w:val="173"/>
        </w:trPr>
        <w:tc>
          <w:tcPr>
            <w:tcW w:w="45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66,268</w:t>
            </w:r>
          </w:p>
        </w:tc>
        <w:tc>
          <w:tcPr>
            <w:tcW w:w="6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312"/>
              <w:spacing w:after="0"/>
              <w:rPr>
                <w:sz w:val="20"/>
                <w:szCs w:val="20"/>
                <w:color w:val="auto"/>
              </w:rPr>
            </w:pPr>
            <w:r>
              <w:rPr>
                <w:rFonts w:ascii="Arial" w:cs="Arial" w:eastAsia="Arial" w:hAnsi="Arial"/>
                <w:sz w:val="15"/>
                <w:szCs w:val="15"/>
                <w:color w:val="auto"/>
              </w:rPr>
              <w:t>348.12</w:t>
            </w:r>
          </w:p>
        </w:tc>
        <w:tc>
          <w:tcPr>
            <w:tcW w:w="1480" w:type="dxa"/>
            <w:vAlign w:val="bottom"/>
          </w:tcPr>
          <w:p>
            <w:pPr>
              <w:jc w:val="right"/>
              <w:spacing w:after="0"/>
              <w:rPr>
                <w:sz w:val="20"/>
                <w:szCs w:val="20"/>
                <w:color w:val="auto"/>
              </w:rPr>
            </w:pPr>
            <w:r>
              <w:rPr>
                <w:rFonts w:ascii="Arial" w:cs="Arial" w:eastAsia="Arial" w:hAnsi="Arial"/>
                <w:sz w:val="15"/>
                <w:szCs w:val="15"/>
                <w:color w:val="auto"/>
              </w:rPr>
              <w:t>66,268</w:t>
            </w:r>
          </w:p>
        </w:tc>
        <w:tc>
          <w:tcPr>
            <w:tcW w:w="2260" w:type="dxa"/>
            <w:vAlign w:val="bottom"/>
          </w:tcPr>
          <w:p>
            <w:pPr>
              <w:spacing w:after="0"/>
              <w:rPr>
                <w:sz w:val="15"/>
                <w:szCs w:val="15"/>
                <w:color w:val="auto"/>
              </w:rPr>
            </w:pPr>
          </w:p>
        </w:tc>
      </w:tr>
    </w:tbl>
    <w:p>
      <w:pPr>
        <w:spacing w:after="0" w:line="216" w:lineRule="exact"/>
        <w:rPr>
          <w:sz w:val="20"/>
          <w:szCs w:val="20"/>
          <w:color w:val="auto"/>
        </w:rPr>
      </w:pPr>
    </w:p>
    <w:p>
      <w:pPr>
        <w:jc w:val="both"/>
        <w:ind w:left="201" w:right="100" w:hanging="201"/>
        <w:spacing w:after="0" w:line="233" w:lineRule="auto"/>
        <w:tabs>
          <w:tab w:leader="none" w:pos="2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September 8, 2011, the Company’s Board of Directors authorized the Company to purchase, on the open market or otherwise, up to 750,000 shares of its Class B Common Stock. There is no expiration date for that authorization. All purchases made during the quarter ended September 30, 2012 were open market transactions.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8370"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809" w:right="239" w:bottom="1440" w:gutter="0" w:footer="0" w:header="0"/>
        </w:sectPr>
      </w:pPr>
    </w:p>
    <w:bookmarkStart w:id="34" w:name="page35"/>
    <w:bookmarkEnd w:id="3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tbl>
      <w:tblPr>
        <w:tblLayout w:type="fixed"/>
        <w:tblInd w:w="1" w:type="dxa"/>
        <w:tblCellMar>
          <w:top w:w="0" w:type="dxa"/>
          <w:left w:w="0" w:type="dxa"/>
          <w:bottom w:w="0" w:type="dxa"/>
          <w:right w:w="0" w:type="dxa"/>
        </w:tblCellMar>
      </w:tblPr>
      <w:tr>
        <w:trPr>
          <w:trHeight w:val="197"/>
        </w:trPr>
        <w:tc>
          <w:tcPr>
            <w:tcW w:w="860" w:type="dxa"/>
            <w:vAlign w:val="bottom"/>
          </w:tcPr>
          <w:p>
            <w:pPr>
              <w:spacing w:after="0"/>
              <w:rPr>
                <w:sz w:val="20"/>
                <w:szCs w:val="20"/>
                <w:color w:val="auto"/>
              </w:rPr>
            </w:pPr>
            <w:r>
              <w:rPr>
                <w:rFonts w:ascii="Arial" w:cs="Arial" w:eastAsia="Arial" w:hAnsi="Arial"/>
                <w:sz w:val="15"/>
                <w:szCs w:val="15"/>
                <w:b w:val="1"/>
                <w:bCs w:val="1"/>
                <w:color w:val="auto"/>
              </w:rPr>
              <w:t>Item 6.</w:t>
            </w:r>
          </w:p>
        </w:tc>
        <w:tc>
          <w:tcPr>
            <w:tcW w:w="10560" w:type="dxa"/>
            <w:vAlign w:val="bottom"/>
            <w:gridSpan w:val="3"/>
          </w:tcPr>
          <w:p>
            <w:pPr>
              <w:ind w:left="100"/>
              <w:spacing w:after="0"/>
              <w:rPr>
                <w:sz w:val="20"/>
                <w:szCs w:val="20"/>
                <w:color w:val="auto"/>
              </w:rPr>
            </w:pPr>
            <w:r>
              <w:rPr>
                <w:rFonts w:ascii="Arial" w:cs="Arial" w:eastAsia="Arial" w:hAnsi="Arial"/>
                <w:sz w:val="15"/>
                <w:szCs w:val="15"/>
                <w:b w:val="1"/>
                <w:bCs w:val="1"/>
                <w:color w:val="auto"/>
              </w:rPr>
              <w:t>Exhibits.</w:t>
            </w:r>
          </w:p>
        </w:tc>
        <w:tc>
          <w:tcPr>
            <w:tcW w:w="0" w:type="dxa"/>
            <w:vAlign w:val="bottom"/>
          </w:tcPr>
          <w:p>
            <w:pPr>
              <w:spacing w:after="0"/>
              <w:rPr>
                <w:sz w:val="1"/>
                <w:szCs w:val="1"/>
                <w:color w:val="auto"/>
              </w:rPr>
            </w:pPr>
          </w:p>
        </w:tc>
      </w:tr>
      <w:tr>
        <w:trPr>
          <w:trHeight w:val="478"/>
        </w:trPr>
        <w:tc>
          <w:tcPr>
            <w:tcW w:w="860" w:type="dxa"/>
            <w:vAlign w:val="bottom"/>
          </w:tcPr>
          <w:p>
            <w:pPr>
              <w:jc w:val="center"/>
              <w:ind w:left="107"/>
              <w:spacing w:after="0"/>
              <w:rPr>
                <w:sz w:val="20"/>
                <w:szCs w:val="20"/>
                <w:color w:val="auto"/>
              </w:rPr>
            </w:pPr>
            <w:r>
              <w:rPr>
                <w:rFonts w:ascii="Arial" w:cs="Arial" w:eastAsia="Arial" w:hAnsi="Arial"/>
                <w:sz w:val="13"/>
                <w:szCs w:val="13"/>
                <w:b w:val="1"/>
                <w:bCs w:val="1"/>
                <w:color w:val="auto"/>
              </w:rPr>
              <w:t>Exhibit</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60" w:type="dxa"/>
            <w:vAlign w:val="bottom"/>
            <w:vMerge w:val="restart"/>
          </w:tcPr>
          <w:p>
            <w:pPr>
              <w:ind w:left="4720"/>
              <w:spacing w:after="0"/>
              <w:rPr>
                <w:sz w:val="20"/>
                <w:szCs w:val="20"/>
                <w:color w:val="auto"/>
              </w:rPr>
            </w:pPr>
            <w:r>
              <w:rPr>
                <w:rFonts w:ascii="Arial" w:cs="Arial" w:eastAsia="Arial" w:hAnsi="Arial"/>
                <w:sz w:val="15"/>
                <w:szCs w:val="15"/>
                <w:b w:val="1"/>
                <w:bCs w:val="1"/>
                <w:color w:val="auto"/>
              </w:rPr>
              <w:t>Description</w:t>
            </w:r>
          </w:p>
        </w:tc>
        <w:tc>
          <w:tcPr>
            <w:tcW w:w="0" w:type="dxa"/>
            <w:vAlign w:val="bottom"/>
          </w:tcPr>
          <w:p>
            <w:pPr>
              <w:spacing w:after="0"/>
              <w:rPr>
                <w:sz w:val="1"/>
                <w:szCs w:val="1"/>
                <w:color w:val="auto"/>
              </w:rPr>
            </w:pPr>
          </w:p>
        </w:tc>
      </w:tr>
      <w:tr>
        <w:trPr>
          <w:trHeight w:val="161"/>
        </w:trPr>
        <w:tc>
          <w:tcPr>
            <w:tcW w:w="860" w:type="dxa"/>
            <w:vAlign w:val="bottom"/>
            <w:tcBorders>
              <w:bottom w:val="single" w:sz="8" w:color="auto"/>
            </w:tcBorders>
          </w:tcPr>
          <w:p>
            <w:pPr>
              <w:jc w:val="center"/>
              <w:ind w:left="87"/>
              <w:spacing w:after="0"/>
              <w:rPr>
                <w:sz w:val="20"/>
                <w:szCs w:val="20"/>
                <w:color w:val="auto"/>
              </w:rPr>
            </w:pPr>
            <w:r>
              <w:rPr>
                <w:rFonts w:ascii="Arial" w:cs="Arial" w:eastAsia="Arial" w:hAnsi="Arial"/>
                <w:sz w:val="13"/>
                <w:szCs w:val="13"/>
                <w:b w:val="1"/>
                <w:bCs w:val="1"/>
                <w:color w:val="auto"/>
              </w:rPr>
              <w:t>Number</w:t>
            </w:r>
          </w:p>
        </w:tc>
        <w:tc>
          <w:tcPr>
            <w:tcW w:w="1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2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28"/>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3.1</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Restated Certificate of Incorporation of the Company dated November 13, 2003 (incorporated by reference to Exhibit 3.1 to the Company’s Annual Report</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on Form 10-K for the fiscal year ended December 28, 2003).</w:t>
            </w:r>
          </w:p>
        </w:tc>
        <w:tc>
          <w:tcPr>
            <w:tcW w:w="0" w:type="dxa"/>
            <w:vAlign w:val="bottom"/>
          </w:tcPr>
          <w:p>
            <w:pPr>
              <w:spacing w:after="0"/>
              <w:rPr>
                <w:sz w:val="1"/>
                <w:szCs w:val="1"/>
                <w:color w:val="auto"/>
              </w:rPr>
            </w:pPr>
          </w:p>
        </w:tc>
      </w:tr>
      <w:tr>
        <w:trPr>
          <w:trHeight w:val="342"/>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Certificate of Designation for the Company’s Series A Preferred Stock dated September 22, 2003 (incorporated by reference to Exhibit 3.2 to Amendment</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No. 1 to the Company’s Current Report on Form 8-K dated September 22, 2003).</w:t>
            </w:r>
          </w:p>
        </w:tc>
        <w:tc>
          <w:tcPr>
            <w:tcW w:w="0" w:type="dxa"/>
            <w:vAlign w:val="bottom"/>
          </w:tcPr>
          <w:p>
            <w:pPr>
              <w:spacing w:after="0"/>
              <w:rPr>
                <w:sz w:val="1"/>
                <w:szCs w:val="1"/>
                <w:color w:val="auto"/>
              </w:rPr>
            </w:pPr>
          </w:p>
        </w:tc>
      </w:tr>
      <w:tr>
        <w:trPr>
          <w:trHeight w:val="342"/>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3.3</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By-Laws of the Company as amended and restated through November 8, 2007 (incorporated by reference to Exhibit 3.1 to the Company’s Current Report</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on Form 8-K dated November 14, 2007).</w:t>
            </w:r>
          </w:p>
        </w:tc>
        <w:tc>
          <w:tcPr>
            <w:tcW w:w="0" w:type="dxa"/>
            <w:vAlign w:val="bottom"/>
          </w:tcPr>
          <w:p>
            <w:pPr>
              <w:spacing w:after="0"/>
              <w:rPr>
                <w:sz w:val="1"/>
                <w:szCs w:val="1"/>
                <w:color w:val="auto"/>
              </w:rPr>
            </w:pPr>
          </w:p>
        </w:tc>
      </w:tr>
      <w:tr>
        <w:trPr>
          <w:trHeight w:val="342"/>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4.1</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Second Supplemental Indenture dated January 30, 2009, between the Company and The Bank of New York Mellon Trust Company, N.A., as successor to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w w:val="99"/>
              </w:rPr>
              <w:t>The First National Bank of Chicago, as Trustee (incorporated by reference to Exhibit 10.2 to the Company’s Current Report on Form 8-K dated January 30,</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0560" w:type="dxa"/>
            <w:vAlign w:val="bottom"/>
            <w:gridSpan w:val="3"/>
          </w:tcPr>
          <w:p>
            <w:pPr>
              <w:ind w:left="280"/>
              <w:spacing w:after="0"/>
              <w:rPr>
                <w:sz w:val="20"/>
                <w:szCs w:val="20"/>
                <w:color w:val="auto"/>
              </w:rPr>
            </w:pPr>
            <w:r>
              <w:rPr>
                <w:rFonts w:ascii="Arial" w:cs="Arial" w:eastAsia="Arial" w:hAnsi="Arial"/>
                <w:sz w:val="15"/>
                <w:szCs w:val="15"/>
                <w:color w:val="auto"/>
              </w:rPr>
              <w:t>2009).</w:t>
            </w:r>
          </w:p>
        </w:tc>
        <w:tc>
          <w:tcPr>
            <w:tcW w:w="0" w:type="dxa"/>
            <w:vAlign w:val="bottom"/>
          </w:tcPr>
          <w:p>
            <w:pPr>
              <w:spacing w:after="0"/>
              <w:rPr>
                <w:sz w:val="1"/>
                <w:szCs w:val="1"/>
                <w:color w:val="auto"/>
              </w:rPr>
            </w:pPr>
          </w:p>
        </w:tc>
      </w:tr>
      <w:tr>
        <w:trPr>
          <w:trHeight w:val="342"/>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4.2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Four Year Credit Agreement, dated as of June 17, 2011, among the Company, JPMorgan Chase Bank, N.A., J.P. Morgan Australia Limited, Wells Fargo</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Bank, N.A., The Royal Bank of Scotland PLC, HSBC Bank USA, National Association, The Bank of New York Mellon, PNC Bank, National Association,</w:t>
            </w:r>
          </w:p>
        </w:tc>
        <w:tc>
          <w:tcPr>
            <w:tcW w:w="0" w:type="dxa"/>
            <w:vAlign w:val="bottom"/>
          </w:tcPr>
          <w:p>
            <w:pPr>
              <w:spacing w:after="0"/>
              <w:rPr>
                <w:sz w:val="1"/>
                <w:szCs w:val="1"/>
                <w:color w:val="auto"/>
              </w:rPr>
            </w:pPr>
          </w:p>
        </w:tc>
      </w:tr>
      <w:tr>
        <w:trPr>
          <w:trHeight w:val="174"/>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Bank of America, N.A., Citibank, N.A. and The Northern Trust Company (incorporated by reference to Exhibit 10.1 to the Company’s Current Report on</w:t>
            </w:r>
          </w:p>
        </w:tc>
        <w:tc>
          <w:tcPr>
            <w:tcW w:w="0" w:type="dxa"/>
            <w:vAlign w:val="bottom"/>
          </w:tcPr>
          <w:p>
            <w:pPr>
              <w:spacing w:after="0"/>
              <w:rPr>
                <w:sz w:val="1"/>
                <w:szCs w:val="1"/>
                <w:color w:val="auto"/>
              </w:rPr>
            </w:pPr>
          </w:p>
        </w:tc>
      </w:tr>
      <w:tr>
        <w:trPr>
          <w:trHeight w:val="179"/>
        </w:trPr>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Form 8-K dated June 17, 2011).</w:t>
            </w:r>
          </w:p>
        </w:tc>
        <w:tc>
          <w:tcPr>
            <w:tcW w:w="0" w:type="dxa"/>
            <w:vAlign w:val="bottom"/>
          </w:tcPr>
          <w:p>
            <w:pPr>
              <w:spacing w:after="0"/>
              <w:rPr>
                <w:sz w:val="1"/>
                <w:szCs w:val="1"/>
                <w:color w:val="auto"/>
              </w:rPr>
            </w:pPr>
          </w:p>
        </w:tc>
      </w:tr>
      <w:tr>
        <w:trPr>
          <w:trHeight w:val="347"/>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31.1</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Executive Officer.</w:t>
            </w:r>
          </w:p>
        </w:tc>
        <w:tc>
          <w:tcPr>
            <w:tcW w:w="0" w:type="dxa"/>
            <w:vAlign w:val="bottom"/>
          </w:tcPr>
          <w:p>
            <w:pPr>
              <w:spacing w:after="0"/>
              <w:rPr>
                <w:sz w:val="1"/>
                <w:szCs w:val="1"/>
                <w:color w:val="auto"/>
              </w:rPr>
            </w:pPr>
          </w:p>
        </w:tc>
      </w:tr>
      <w:tr>
        <w:trPr>
          <w:trHeight w:val="347"/>
        </w:trPr>
        <w:tc>
          <w:tcPr>
            <w:tcW w:w="860" w:type="dxa"/>
            <w:vAlign w:val="bottom"/>
          </w:tcPr>
          <w:p>
            <w:pPr>
              <w:jc w:val="right"/>
              <w:ind w:right="407"/>
              <w:spacing w:after="0"/>
              <w:rPr>
                <w:sz w:val="20"/>
                <w:szCs w:val="20"/>
                <w:color w:val="auto"/>
              </w:rPr>
            </w:pPr>
            <w:r>
              <w:rPr>
                <w:rFonts w:ascii="Arial" w:cs="Arial" w:eastAsia="Arial" w:hAnsi="Arial"/>
                <w:sz w:val="15"/>
                <w:szCs w:val="15"/>
                <w:color w:val="auto"/>
              </w:rPr>
              <w:t>31.2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Rule 13a-14(a)/15d-14(a) Certification of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32</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Section 1350 Certification of the Chief Executive Officer and the Chief Financial Officer.</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101.INS</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XBRL Instance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101.SCH</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Schema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101.CAL</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Calculation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101.DEF</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Definition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101.LAB</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Label Linkbase Document.*</w:t>
            </w:r>
          </w:p>
        </w:tc>
        <w:tc>
          <w:tcPr>
            <w:tcW w:w="0" w:type="dxa"/>
            <w:vAlign w:val="bottom"/>
          </w:tcPr>
          <w:p>
            <w:pPr>
              <w:spacing w:after="0"/>
              <w:rPr>
                <w:sz w:val="1"/>
                <w:szCs w:val="1"/>
                <w:color w:val="auto"/>
              </w:rPr>
            </w:pPr>
          </w:p>
        </w:tc>
      </w:tr>
      <w:tr>
        <w:trPr>
          <w:trHeight w:val="347"/>
        </w:trPr>
        <w:tc>
          <w:tcPr>
            <w:tcW w:w="860" w:type="dxa"/>
            <w:vAlign w:val="bottom"/>
          </w:tcPr>
          <w:p>
            <w:pPr>
              <w:ind w:left="80"/>
              <w:spacing w:after="0"/>
              <w:rPr>
                <w:sz w:val="20"/>
                <w:szCs w:val="20"/>
                <w:color w:val="auto"/>
              </w:rPr>
            </w:pPr>
            <w:r>
              <w:rPr>
                <w:rFonts w:ascii="Arial" w:cs="Arial" w:eastAsia="Arial" w:hAnsi="Arial"/>
                <w:sz w:val="15"/>
                <w:szCs w:val="15"/>
                <w:color w:val="auto"/>
              </w:rPr>
              <w:t>101.PRE</w:t>
            </w:r>
          </w:p>
        </w:tc>
        <w:tc>
          <w:tcPr>
            <w:tcW w:w="160" w:type="dxa"/>
            <w:vAlign w:val="bottom"/>
          </w:tcPr>
          <w:p>
            <w:pPr>
              <w:spacing w:after="0"/>
              <w:rPr>
                <w:sz w:val="24"/>
                <w:szCs w:val="24"/>
                <w:color w:val="auto"/>
              </w:rPr>
            </w:pPr>
          </w:p>
        </w:tc>
        <w:tc>
          <w:tcPr>
            <w:tcW w:w="10400" w:type="dxa"/>
            <w:vAlign w:val="bottom"/>
            <w:gridSpan w:val="2"/>
          </w:tcPr>
          <w:p>
            <w:pPr>
              <w:ind w:left="120"/>
              <w:spacing w:after="0"/>
              <w:rPr>
                <w:sz w:val="20"/>
                <w:szCs w:val="20"/>
                <w:color w:val="auto"/>
              </w:rPr>
            </w:pPr>
            <w:r>
              <w:rPr>
                <w:rFonts w:ascii="Arial" w:cs="Arial" w:eastAsia="Arial" w:hAnsi="Arial"/>
                <w:sz w:val="15"/>
                <w:szCs w:val="15"/>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224155</wp:posOffset>
            </wp:positionV>
            <wp:extent cx="234061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340610" cy="7620"/>
                    </a:xfrm>
                    <a:prstGeom prst="rect">
                      <a:avLst/>
                    </a:prstGeom>
                    <a:noFill/>
                  </pic:spPr>
                </pic:pic>
              </a:graphicData>
            </a:graphic>
          </wp:anchor>
        </w:drawing>
      </w:r>
    </w:p>
    <w:p>
      <w:pPr>
        <w:spacing w:after="0" w:line="347" w:lineRule="exact"/>
        <w:rPr>
          <w:sz w:val="20"/>
          <w:szCs w:val="20"/>
          <w:color w:val="auto"/>
        </w:rPr>
      </w:pPr>
    </w:p>
    <w:p>
      <w:pPr>
        <w:ind w:left="1" w:hanging="1"/>
        <w:spacing w:after="0" w:line="243" w:lineRule="auto"/>
        <w:tabs>
          <w:tab w:leader="none" w:pos="92" w:val="left"/>
        </w:tabs>
        <w:numPr>
          <w:ilvl w:val="0"/>
          <w:numId w:val="12"/>
        </w:numPr>
        <w:rPr>
          <w:rFonts w:ascii="Arial" w:cs="Arial" w:eastAsia="Arial" w:hAnsi="Arial"/>
          <w:sz w:val="15"/>
          <w:szCs w:val="15"/>
          <w:color w:val="auto"/>
        </w:rPr>
      </w:pPr>
      <w:r>
        <w:rPr>
          <w:rFonts w:ascii="Arial" w:cs="Arial" w:eastAsia="Arial" w:hAnsi="Arial"/>
          <w:sz w:val="15"/>
          <w:szCs w:val="15"/>
          <w:color w:val="auto"/>
        </w:rPr>
        <w:t>Attached as Exhibit 101 to this report are the following documents formatted in XBRL (Extensible Business Reporting Language): (i) Condensed Consolidated Statements of Operations for the Three and Nine Months Ended September 30, 2012 and October 2, 2011, (ii) Condensed Consolidated Statements of Comprehensive Income for the Three and Nine Months Ended September 30, 2012 and October 2, 2011, (iii) Condensed Consolidated Balance Sheets at September 30, 2012 and December 31, 2011, (iv) Condensed Consolidated Statements of Cash Flows for the Nine Months Ended September 30, 2012 and October 2, 2011, and (v) Notes to Condensed Consolidated Financial Statements. Pursuant to Rule 406T of Regulation S-T, these interactive data files are deemed “furnished” and not “filed” or part of a registration statement or prospectus for purposes of Sections 11 or 12 of the Securities Act of 1933, are deemed “furnished” and not “filed” for purposes of Section 18 of the Securities Exchange Act of 1934, and otherwise are not subject to liability under these sections.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727837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1421"/>
          </w:cols>
          <w:pgMar w:left="239" w:top="123" w:right="239" w:bottom="1440" w:gutter="0" w:footer="0" w:header="0"/>
        </w:sectPr>
      </w:pPr>
    </w:p>
    <w:bookmarkStart w:id="36" w:name="page37"/>
    <w:bookmarkEnd w:id="3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7" w:name="page38"/>
    <w:bookmarkEnd w:id="37"/>
    <w:p>
      <w:pPr>
        <w:jc w:val="center"/>
        <w:ind w:right="-439"/>
        <w:spacing w:after="0"/>
        <w:rPr>
          <w:sz w:val="20"/>
          <w:szCs w:val="20"/>
          <w:color w:val="auto"/>
        </w:rPr>
      </w:pPr>
      <w:r>
        <w:rPr>
          <w:rFonts w:ascii="Arial" w:cs="Arial" w:eastAsia="Arial" w:hAnsi="Arial"/>
          <w:sz w:val="20"/>
          <w:szCs w:val="20"/>
          <w:b w:val="1"/>
          <w:bCs w:val="1"/>
          <w:color w:val="auto"/>
        </w:rPr>
        <w:t>SIGNATURES</w:t>
      </w:r>
    </w:p>
    <w:p>
      <w:pPr>
        <w:spacing w:after="0" w:line="172" w:lineRule="exact"/>
        <w:rPr>
          <w:sz w:val="20"/>
          <w:szCs w:val="20"/>
          <w:color w:val="auto"/>
        </w:rPr>
      </w:pPr>
    </w:p>
    <w:p>
      <w:pPr>
        <w:ind w:right="480"/>
        <w:spacing w:after="0" w:line="235"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jc w:val="center"/>
        <w:ind w:left="7680"/>
        <w:spacing w:after="0"/>
        <w:rPr>
          <w:sz w:val="20"/>
          <w:szCs w:val="20"/>
          <w:color w:val="auto"/>
        </w:rPr>
      </w:pPr>
      <w:r>
        <w:rPr>
          <w:rFonts w:ascii="Arial" w:cs="Arial" w:eastAsia="Arial" w:hAnsi="Arial"/>
          <w:sz w:val="16"/>
          <w:szCs w:val="16"/>
          <w:color w:val="auto"/>
        </w:rPr>
        <w:t>THE WASHINGTON POST COMPANY</w:t>
      </w:r>
    </w:p>
    <w:p>
      <w:pPr>
        <w:spacing w:after="0" w:line="2" w:lineRule="exact"/>
        <w:rPr>
          <w:sz w:val="20"/>
          <w:szCs w:val="20"/>
          <w:color w:val="auto"/>
        </w:rPr>
      </w:pPr>
    </w:p>
    <w:p>
      <w:pPr>
        <w:jc w:val="center"/>
        <w:ind w:left="7680"/>
        <w:spacing w:after="0"/>
        <w:rPr>
          <w:sz w:val="20"/>
          <w:szCs w:val="20"/>
          <w:color w:val="auto"/>
        </w:rPr>
      </w:pPr>
      <w:r>
        <w:rPr>
          <w:rFonts w:ascii="Arial" w:cs="Arial" w:eastAsia="Arial" w:hAnsi="Arial"/>
          <w:sz w:val="17"/>
          <w:szCs w:val="17"/>
          <w:color w:val="auto"/>
        </w:rPr>
        <w:t>(Registrant)</w:t>
      </w:r>
    </w:p>
    <w:p>
      <w:pPr>
        <w:spacing w:after="0" w:line="214" w:lineRule="exact"/>
        <w:rPr>
          <w:sz w:val="20"/>
          <w:szCs w:val="20"/>
          <w:color w:val="auto"/>
        </w:rPr>
      </w:pPr>
    </w:p>
    <w:p>
      <w:pPr>
        <w:spacing w:after="0"/>
        <w:tabs>
          <w:tab w:leader="none" w:pos="8740" w:val="left"/>
        </w:tabs>
        <w:rPr>
          <w:sz w:val="20"/>
          <w:szCs w:val="20"/>
          <w:color w:val="auto"/>
        </w:rPr>
      </w:pPr>
      <w:r>
        <w:rPr>
          <w:rFonts w:ascii="Arial" w:cs="Arial" w:eastAsia="Arial" w:hAnsi="Arial"/>
          <w:sz w:val="17"/>
          <w:szCs w:val="17"/>
          <w:color w:val="auto"/>
        </w:rPr>
        <w:t>Date: November 6, 2012</w:t>
      </w:r>
      <w:r>
        <w:rPr>
          <w:sz w:val="20"/>
          <w:szCs w:val="20"/>
          <w:color w:val="auto"/>
        </w:rPr>
        <w:tab/>
      </w:r>
      <w:r>
        <w:rPr>
          <w:rFonts w:ascii="Arial" w:cs="Arial" w:eastAsia="Arial" w:hAnsi="Arial"/>
          <w:sz w:val="16"/>
          <w:szCs w:val="16"/>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-5080</wp:posOffset>
            </wp:positionV>
            <wp:extent cx="23876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59"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Donald E. Graham,</w:t>
      </w:r>
    </w:p>
    <w:p>
      <w:pPr>
        <w:spacing w:after="0" w:line="15"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Chairman &amp; Chief Executive Officer</w:t>
      </w:r>
    </w:p>
    <w:p>
      <w:pPr>
        <w:jc w:val="center"/>
        <w:ind w:left="7680"/>
        <w:spacing w:after="0"/>
        <w:rPr>
          <w:sz w:val="20"/>
          <w:szCs w:val="20"/>
          <w:color w:val="auto"/>
        </w:rPr>
      </w:pPr>
      <w:r>
        <w:rPr>
          <w:rFonts w:ascii="Arial" w:cs="Arial" w:eastAsia="Arial" w:hAnsi="Arial"/>
          <w:sz w:val="13"/>
          <w:szCs w:val="13"/>
          <w:b w:val="1"/>
          <w:bCs w:val="1"/>
          <w:color w:val="auto"/>
        </w:rPr>
        <w:t>(Principal Executive Officer)</w:t>
      </w:r>
    </w:p>
    <w:p>
      <w:pPr>
        <w:spacing w:after="0" w:line="230" w:lineRule="exact"/>
        <w:rPr>
          <w:sz w:val="20"/>
          <w:szCs w:val="20"/>
          <w:color w:val="auto"/>
        </w:rPr>
      </w:pPr>
    </w:p>
    <w:p>
      <w:pPr>
        <w:spacing w:after="0"/>
        <w:tabs>
          <w:tab w:leader="none" w:pos="8940" w:val="left"/>
        </w:tabs>
        <w:rPr>
          <w:sz w:val="20"/>
          <w:szCs w:val="20"/>
          <w:color w:val="auto"/>
        </w:rPr>
      </w:pPr>
      <w:r>
        <w:rPr>
          <w:rFonts w:ascii="Arial" w:cs="Arial" w:eastAsia="Arial" w:hAnsi="Arial"/>
          <w:sz w:val="17"/>
          <w:szCs w:val="17"/>
          <w:color w:val="auto"/>
        </w:rPr>
        <w:t>Date: November 6, 2012</w:t>
      </w:r>
      <w:r>
        <w:rPr>
          <w:sz w:val="20"/>
          <w:szCs w:val="20"/>
          <w:color w:val="auto"/>
        </w:rPr>
        <w:tab/>
      </w:r>
      <w:r>
        <w:rPr>
          <w:rFonts w:ascii="Arial" w:cs="Arial" w:eastAsia="Arial" w:hAnsi="Arial"/>
          <w:sz w:val="16"/>
          <w:szCs w:val="16"/>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-5080</wp:posOffset>
            </wp:positionV>
            <wp:extent cx="23876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87600" cy="7620"/>
                    </a:xfrm>
                    <a:prstGeom prst="rect">
                      <a:avLst/>
                    </a:prstGeom>
                    <a:noFill/>
                  </pic:spPr>
                </pic:pic>
              </a:graphicData>
            </a:graphic>
          </wp:anchor>
        </w:drawing>
      </w:r>
    </w:p>
    <w:p>
      <w:pPr>
        <w:spacing w:after="0" w:line="84"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Hal S. Jones,</w:t>
      </w:r>
    </w:p>
    <w:p>
      <w:pPr>
        <w:spacing w:after="0" w:line="15" w:lineRule="exact"/>
        <w:rPr>
          <w:sz w:val="20"/>
          <w:szCs w:val="20"/>
          <w:color w:val="auto"/>
        </w:rPr>
      </w:pPr>
    </w:p>
    <w:p>
      <w:pPr>
        <w:jc w:val="center"/>
        <w:ind w:left="7680"/>
        <w:spacing w:after="0"/>
        <w:rPr>
          <w:sz w:val="20"/>
          <w:szCs w:val="20"/>
          <w:color w:val="auto"/>
        </w:rPr>
      </w:pPr>
      <w:r>
        <w:rPr>
          <w:rFonts w:ascii="Arial" w:cs="Arial" w:eastAsia="Arial" w:hAnsi="Arial"/>
          <w:sz w:val="13"/>
          <w:szCs w:val="13"/>
          <w:b w:val="1"/>
          <w:bCs w:val="1"/>
          <w:color w:val="auto"/>
        </w:rPr>
        <w:t>Senior Vice President-Finance</w:t>
      </w:r>
    </w:p>
    <w:p>
      <w:pPr>
        <w:jc w:val="center"/>
        <w:ind w:left="7680"/>
        <w:spacing w:after="0"/>
        <w:rPr>
          <w:sz w:val="20"/>
          <w:szCs w:val="20"/>
          <w:color w:val="auto"/>
        </w:rPr>
      </w:pPr>
      <w:r>
        <w:rPr>
          <w:rFonts w:ascii="Arial" w:cs="Arial" w:eastAsia="Arial" w:hAnsi="Arial"/>
          <w:sz w:val="13"/>
          <w:szCs w:val="13"/>
          <w:b w:val="1"/>
          <w:bCs w:val="1"/>
          <w:color w:val="auto"/>
        </w:rPr>
        <w:t>(Principal Financial Officer)</w:t>
      </w:r>
    </w:p>
    <w:p>
      <w:pPr>
        <w:spacing w:after="0" w:line="230"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78740</wp:posOffset>
            </wp:positionV>
            <wp:extent cx="7278370" cy="203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80"/>
          </w:cols>
          <w:pgMar w:left="240" w:top="110" w:right="679" w:bottom="1440" w:gutter="0" w:footer="0" w:header="0"/>
        </w:sectPr>
      </w:pPr>
    </w:p>
    <w:bookmarkStart w:id="38" w:name="page39"/>
    <w:bookmarkEnd w:id="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9" w:name="page40"/>
    <w:bookmarkEnd w:id="39"/>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EXECUTIVE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Donald E. Graham, Chief Executive Officer (principal executive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53479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3479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November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473075</wp:posOffset>
            </wp:positionV>
            <wp:extent cx="727837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9" w:right="139" w:bottom="1440" w:gutter="0" w:footer="0" w:header="0"/>
        </w:sectPr>
      </w:pPr>
    </w:p>
    <w:bookmarkStart w:id="40" w:name="page41"/>
    <w:bookmarkEnd w:id="4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1" w:name="page42"/>
    <w:bookmarkEnd w:id="41"/>
    <w:p>
      <w:pPr>
        <w:jc w:val="right"/>
        <w:spacing w:after="0"/>
        <w:rPr>
          <w:sz w:val="20"/>
          <w:szCs w:val="20"/>
          <w:color w:val="auto"/>
        </w:rPr>
      </w:pPr>
      <w:r>
        <w:rPr>
          <w:rFonts w:ascii="Arial" w:cs="Arial" w:eastAsia="Arial" w:hAnsi="Arial"/>
          <w:sz w:val="17"/>
          <w:szCs w:val="17"/>
          <w:b w:val="1"/>
          <w:bCs w:val="1"/>
          <w:color w:val="auto"/>
        </w:rPr>
        <w:t>Exhib</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RULE 13a-14(a)/15d-14(a) CERTIFICATION OF THE CHIEF FINANCIAL OFFICER</w:t>
      </w:r>
    </w:p>
    <w:p>
      <w:pPr>
        <w:jc w:val="center"/>
        <w:ind w:left="1160"/>
        <w:spacing w:after="0"/>
        <w:rPr>
          <w:sz w:val="20"/>
          <w:szCs w:val="20"/>
          <w:color w:val="auto"/>
        </w:rPr>
      </w:pPr>
      <w:r>
        <w:rPr>
          <w:rFonts w:ascii="Arial" w:cs="Arial" w:eastAsia="Arial" w:hAnsi="Arial"/>
          <w:sz w:val="17"/>
          <w:szCs w:val="17"/>
          <w:color w:val="auto"/>
        </w:rPr>
        <w:t>AS ADOPTED PURSUANT TO SECTION 302 OF THE SARBANES-OXLEY ACT OF 2002</w:t>
      </w:r>
    </w:p>
    <w:p>
      <w:pPr>
        <w:spacing w:after="0" w:line="140" w:lineRule="exact"/>
        <w:rPr>
          <w:sz w:val="20"/>
          <w:szCs w:val="20"/>
          <w:color w:val="auto"/>
        </w:rPr>
      </w:pPr>
    </w:p>
    <w:p>
      <w:pPr>
        <w:ind w:left="9"/>
        <w:spacing w:after="0"/>
        <w:rPr>
          <w:sz w:val="20"/>
          <w:szCs w:val="20"/>
          <w:color w:val="auto"/>
        </w:rPr>
      </w:pPr>
      <w:r>
        <w:rPr>
          <w:rFonts w:ascii="Arial" w:cs="Arial" w:eastAsia="Arial" w:hAnsi="Arial"/>
          <w:sz w:val="17"/>
          <w:szCs w:val="17"/>
          <w:color w:val="auto"/>
        </w:rPr>
        <w:t>I, Hal S. Jones, Senior Vice President-Finance (principal financial officer) of The Washington Post Company (the “Registrant”), certify that:</w:t>
      </w:r>
    </w:p>
    <w:p>
      <w:pPr>
        <w:spacing w:after="0" w:line="140" w:lineRule="exact"/>
        <w:rPr>
          <w:sz w:val="20"/>
          <w:szCs w:val="20"/>
          <w:color w:val="auto"/>
        </w:rPr>
      </w:pPr>
    </w:p>
    <w:p>
      <w:pPr>
        <w:ind w:left="189" w:hanging="189"/>
        <w:spacing w:after="0"/>
        <w:tabs>
          <w:tab w:leader="none" w:pos="189"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Registrant;</w:t>
      </w:r>
    </w:p>
    <w:p>
      <w:pPr>
        <w:spacing w:after="0" w:line="139" w:lineRule="exact"/>
        <w:rPr>
          <w:rFonts w:ascii="Arial" w:cs="Arial" w:eastAsia="Arial" w:hAnsi="Arial"/>
          <w:sz w:val="17"/>
          <w:szCs w:val="17"/>
          <w:color w:val="auto"/>
        </w:rPr>
      </w:pPr>
    </w:p>
    <w:p>
      <w:pPr>
        <w:ind w:left="9" w:hanging="9"/>
        <w:spacing w:after="0" w:line="260" w:lineRule="auto"/>
        <w:tabs>
          <w:tab w:leader="none" w:pos="19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w:t>
      </w:r>
    </w:p>
    <w:p>
      <w:pPr>
        <w:spacing w:after="0" w:line="122" w:lineRule="exact"/>
        <w:rPr>
          <w:rFonts w:ascii="Arial" w:cs="Arial" w:eastAsia="Arial" w:hAnsi="Arial"/>
          <w:sz w:val="16"/>
          <w:szCs w:val="16"/>
          <w:color w:val="auto"/>
        </w:rPr>
      </w:pPr>
    </w:p>
    <w:p>
      <w:pPr>
        <w:ind w:left="9" w:hanging="9"/>
        <w:spacing w:after="0" w:line="235"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 condition, results of operations and cash flows of the Registrant as of, and for, the periods presented in this report;</w:t>
      </w:r>
    </w:p>
    <w:p>
      <w:pPr>
        <w:spacing w:after="0" w:line="138" w:lineRule="exact"/>
        <w:rPr>
          <w:rFonts w:ascii="Arial" w:cs="Arial" w:eastAsia="Arial" w:hAnsi="Arial"/>
          <w:sz w:val="17"/>
          <w:szCs w:val="17"/>
          <w:color w:val="auto"/>
        </w:rPr>
      </w:pPr>
    </w:p>
    <w:p>
      <w:pPr>
        <w:ind w:left="9" w:hanging="9"/>
        <w:spacing w:after="0" w:line="233"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 Act Rules 13a-15(e) and 15d-15(e)) and internal control over financial reporting (as defined in Exchange Act Rules 13a-15(f) and 15d-15(f)) for the Registrant and have:</w:t>
      </w:r>
    </w:p>
    <w:p>
      <w:pPr>
        <w:spacing w:after="0" w:line="63" w:lineRule="exact"/>
        <w:rPr>
          <w:rFonts w:ascii="Arial" w:cs="Arial" w:eastAsia="Arial" w:hAnsi="Arial"/>
          <w:sz w:val="17"/>
          <w:szCs w:val="17"/>
          <w:color w:val="auto"/>
        </w:rPr>
      </w:pPr>
    </w:p>
    <w:p>
      <w:pPr>
        <w:jc w:val="both"/>
        <w:ind w:left="809" w:hanging="405"/>
        <w:spacing w:after="0" w:line="233"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 ensure that material information relating to the Registrant, including its consolidated subsidiaries, is made known to us by others within thos entities, particularly during the period in which this report is being prepared;</w:t>
      </w:r>
    </w:p>
    <w:p>
      <w:pPr>
        <w:spacing w:after="0" w:line="63" w:lineRule="exact"/>
        <w:rPr>
          <w:rFonts w:ascii="Arial" w:cs="Arial" w:eastAsia="Arial" w:hAnsi="Arial"/>
          <w:sz w:val="17"/>
          <w:szCs w:val="17"/>
          <w:color w:val="auto"/>
        </w:rPr>
      </w:pPr>
    </w:p>
    <w:p>
      <w:pPr>
        <w:ind w:left="809" w:right="20" w:hanging="405"/>
        <w:spacing w:after="0" w:line="233"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 purposes in accordance with generally accepted accounting principles;</w:t>
      </w:r>
    </w:p>
    <w:p>
      <w:pPr>
        <w:spacing w:after="0" w:line="63" w:lineRule="exact"/>
        <w:rPr>
          <w:rFonts w:ascii="Arial" w:cs="Arial" w:eastAsia="Arial" w:hAnsi="Arial"/>
          <w:sz w:val="17"/>
          <w:szCs w:val="17"/>
          <w:color w:val="auto"/>
        </w:rPr>
      </w:pPr>
    </w:p>
    <w:p>
      <w:pPr>
        <w:jc w:val="both"/>
        <w:ind w:left="809" w:right="160" w:hanging="405"/>
        <w:spacing w:after="0" w:line="260" w:lineRule="auto"/>
        <w:tabs>
          <w:tab w:leader="none" w:pos="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8" w:lineRule="exact"/>
        <w:rPr>
          <w:rFonts w:ascii="Arial" w:cs="Arial" w:eastAsia="Arial" w:hAnsi="Arial"/>
          <w:sz w:val="16"/>
          <w:szCs w:val="16"/>
          <w:color w:val="auto"/>
        </w:rPr>
      </w:pPr>
    </w:p>
    <w:p>
      <w:pPr>
        <w:ind w:left="809" w:hanging="405"/>
        <w:spacing w:after="0" w:line="233"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rFonts w:ascii="Arial" w:cs="Arial" w:eastAsia="Arial" w:hAnsi="Arial"/>
          <w:sz w:val="17"/>
          <w:szCs w:val="17"/>
          <w:color w:val="auto"/>
        </w:rPr>
      </w:pPr>
    </w:p>
    <w:p>
      <w:pPr>
        <w:ind w:left="9" w:right="80" w:hanging="9"/>
        <w:spacing w:after="0" w:line="235" w:lineRule="auto"/>
        <w:tabs>
          <w:tab w:leader="none" w:pos="193"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 likely to adversely affect the Registrant’s ability to record, process, summarize and report financial information; and</w:t>
      </w:r>
    </w:p>
    <w:p>
      <w:pPr>
        <w:spacing w:after="0" w:line="63" w:lineRule="exact"/>
        <w:rPr>
          <w:rFonts w:ascii="Arial" w:cs="Arial" w:eastAsia="Arial" w:hAnsi="Arial"/>
          <w:sz w:val="17"/>
          <w:szCs w:val="17"/>
          <w:color w:val="auto"/>
        </w:rPr>
      </w:pPr>
    </w:p>
    <w:p>
      <w:pPr>
        <w:ind w:left="809" w:right="20" w:hanging="405"/>
        <w:spacing w:after="0" w:line="235" w:lineRule="auto"/>
        <w:tabs>
          <w:tab w:leader="none" w:pos="79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 over financial reporting.</w:t>
      </w:r>
    </w:p>
    <w:p>
      <w:pPr>
        <w:spacing w:after="0" w:line="325"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05664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November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473075</wp:posOffset>
            </wp:positionV>
            <wp:extent cx="727837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9" w:right="139" w:bottom="1440" w:gutter="0" w:footer="0" w:header="0"/>
        </w:sectPr>
      </w:pPr>
    </w:p>
    <w:bookmarkStart w:id="42" w:name="page43"/>
    <w:bookmarkEnd w:id="4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3" w:name="page44"/>
    <w:bookmarkEnd w:id="43"/>
    <w:p>
      <w:pPr>
        <w:jc w:val="right"/>
        <w:spacing w:after="0"/>
        <w:rPr>
          <w:sz w:val="20"/>
          <w:szCs w:val="20"/>
          <w:color w:val="auto"/>
        </w:rPr>
      </w:pPr>
      <w:r>
        <w:rPr>
          <w:rFonts w:ascii="Arial" w:cs="Arial" w:eastAsia="Arial" w:hAnsi="Arial"/>
          <w:sz w:val="17"/>
          <w:szCs w:val="17"/>
          <w:b w:val="1"/>
          <w:bCs w:val="1"/>
          <w:color w:val="auto"/>
        </w:rPr>
        <w:t>Exh</w:t>
      </w:r>
    </w:p>
    <w:p>
      <w:pPr>
        <w:spacing w:after="0" w:line="150" w:lineRule="exact"/>
        <w:rPr>
          <w:sz w:val="20"/>
          <w:szCs w:val="20"/>
          <w:color w:val="auto"/>
        </w:rPr>
      </w:pPr>
    </w:p>
    <w:p>
      <w:pPr>
        <w:jc w:val="center"/>
        <w:ind w:left="1160"/>
        <w:spacing w:after="0"/>
        <w:rPr>
          <w:sz w:val="20"/>
          <w:szCs w:val="20"/>
          <w:color w:val="auto"/>
        </w:rPr>
      </w:pPr>
      <w:r>
        <w:rPr>
          <w:rFonts w:ascii="Arial" w:cs="Arial" w:eastAsia="Arial" w:hAnsi="Arial"/>
          <w:sz w:val="17"/>
          <w:szCs w:val="17"/>
          <w:color w:val="auto"/>
        </w:rPr>
        <w:t>SECTION 1350 CERTIFICATION OF THE CHIEF EXECUTIVE OFFICER AND THE CHIEF FINANCIAL</w:t>
      </w:r>
    </w:p>
    <w:p>
      <w:pPr>
        <w:jc w:val="center"/>
        <w:ind w:left="1160"/>
        <w:spacing w:after="0" w:line="228" w:lineRule="auto"/>
        <w:rPr>
          <w:sz w:val="20"/>
          <w:szCs w:val="20"/>
          <w:color w:val="auto"/>
        </w:rPr>
      </w:pPr>
      <w:r>
        <w:rPr>
          <w:rFonts w:ascii="Arial" w:cs="Arial" w:eastAsia="Arial" w:hAnsi="Arial"/>
          <w:sz w:val="17"/>
          <w:szCs w:val="17"/>
          <w:color w:val="auto"/>
        </w:rPr>
        <w:t>OFFICER</w:t>
      </w:r>
    </w:p>
    <w:p>
      <w:pPr>
        <w:jc w:val="center"/>
        <w:ind w:left="1160"/>
        <w:spacing w:after="0"/>
        <w:rPr>
          <w:sz w:val="20"/>
          <w:szCs w:val="20"/>
          <w:color w:val="auto"/>
        </w:rPr>
      </w:pPr>
      <w:r>
        <w:rPr>
          <w:rFonts w:ascii="Arial" w:cs="Arial" w:eastAsia="Arial" w:hAnsi="Arial"/>
          <w:sz w:val="17"/>
          <w:szCs w:val="17"/>
          <w:color w:val="auto"/>
        </w:rPr>
        <w:t>AS ADOPTED PURSUANT TO SECTION 906 OF THE SARBANES-OXLEY ACT OF 2002</w:t>
      </w:r>
    </w:p>
    <w:p>
      <w:pPr>
        <w:spacing w:after="0" w:line="140" w:lineRule="exact"/>
        <w:rPr>
          <w:sz w:val="20"/>
          <w:szCs w:val="20"/>
          <w:color w:val="auto"/>
        </w:rPr>
      </w:pPr>
    </w:p>
    <w:p>
      <w:pPr>
        <w:jc w:val="both"/>
        <w:ind w:left="9"/>
        <w:spacing w:after="0" w:line="233" w:lineRule="auto"/>
        <w:rPr>
          <w:sz w:val="20"/>
          <w:szCs w:val="20"/>
          <w:color w:val="auto"/>
        </w:rPr>
      </w:pPr>
      <w:r>
        <w:rPr>
          <w:rFonts w:ascii="Arial" w:cs="Arial" w:eastAsia="Arial" w:hAnsi="Arial"/>
          <w:sz w:val="17"/>
          <w:szCs w:val="17"/>
          <w:color w:val="auto"/>
        </w:rPr>
        <w:t>In connection with the Quarterly Report of The Washington Post Company (the “Company”) on Form 10-Q for the period ended September 30, 2012 (t “Report”), Donald E. Graham, Chief Executive Officer of the Company and Hal S. Jones, Senior Vice President-Finance of the Company, each hereby certifies, pursuant to 18 U.S.C. Section 1350, as adopted pursuant to Section 906 of the Sarbanes-Oxley Act of 2002, that:</w:t>
      </w:r>
    </w:p>
    <w:p>
      <w:pPr>
        <w:spacing w:after="0" w:line="138" w:lineRule="exact"/>
        <w:rPr>
          <w:sz w:val="20"/>
          <w:szCs w:val="20"/>
          <w:color w:val="auto"/>
        </w:rPr>
      </w:pPr>
    </w:p>
    <w:p>
      <w:pPr>
        <w:ind w:left="249" w:hanging="249"/>
        <w:spacing w:after="0"/>
        <w:tabs>
          <w:tab w:leader="none" w:pos="249"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39" w:lineRule="exact"/>
        <w:rPr>
          <w:rFonts w:ascii="Arial" w:cs="Arial" w:eastAsia="Arial" w:hAnsi="Arial"/>
          <w:sz w:val="17"/>
          <w:szCs w:val="17"/>
          <w:color w:val="auto"/>
        </w:rPr>
      </w:pPr>
    </w:p>
    <w:p>
      <w:pPr>
        <w:ind w:left="249" w:hanging="249"/>
        <w:spacing w:after="0"/>
        <w:tabs>
          <w:tab w:leader="none" w:pos="249"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37" w:lineRule="exact"/>
        <w:rPr>
          <w:sz w:val="20"/>
          <w:szCs w:val="20"/>
          <w:color w:val="auto"/>
        </w:rPr>
      </w:pPr>
    </w:p>
    <w:p>
      <w:pPr>
        <w:ind w:left="9"/>
        <w:spacing w:after="0"/>
        <w:rPr>
          <w:sz w:val="20"/>
          <w:szCs w:val="20"/>
          <w:color w:val="auto"/>
        </w:rPr>
      </w:pPr>
      <w:r>
        <w:rPr>
          <w:rFonts w:ascii="Arial" w:cs="Arial" w:eastAsia="Arial" w:hAnsi="Arial"/>
          <w:sz w:val="17"/>
          <w:szCs w:val="17"/>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4716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716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Donald E. Graham</w:t>
      </w:r>
    </w:p>
    <w:p>
      <w:pPr>
        <w:ind w:left="9"/>
        <w:spacing w:after="0" w:line="228" w:lineRule="auto"/>
        <w:rPr>
          <w:sz w:val="20"/>
          <w:szCs w:val="20"/>
          <w:color w:val="auto"/>
        </w:rPr>
      </w:pPr>
      <w:r>
        <w:rPr>
          <w:rFonts w:ascii="Arial" w:cs="Arial" w:eastAsia="Arial" w:hAnsi="Arial"/>
          <w:sz w:val="17"/>
          <w:szCs w:val="17"/>
          <w:color w:val="auto"/>
        </w:rPr>
        <w:t>Chief Executive Officer</w:t>
      </w:r>
    </w:p>
    <w:p>
      <w:pPr>
        <w:ind w:left="9"/>
        <w:spacing w:after="0"/>
        <w:rPr>
          <w:sz w:val="20"/>
          <w:szCs w:val="20"/>
          <w:color w:val="auto"/>
        </w:rPr>
      </w:pPr>
      <w:r>
        <w:rPr>
          <w:rFonts w:ascii="Arial" w:cs="Arial" w:eastAsia="Arial" w:hAnsi="Arial"/>
          <w:sz w:val="17"/>
          <w:szCs w:val="17"/>
          <w:color w:val="auto"/>
        </w:rPr>
        <w:t>November 6, 2012</w:t>
      </w:r>
    </w:p>
    <w:p>
      <w:pPr>
        <w:spacing w:after="0" w:line="326" w:lineRule="exact"/>
        <w:rPr>
          <w:sz w:val="20"/>
          <w:szCs w:val="20"/>
          <w:color w:val="auto"/>
        </w:rPr>
      </w:pPr>
    </w:p>
    <w:p>
      <w:pPr>
        <w:ind w:left="9"/>
        <w:spacing w:after="0"/>
        <w:rPr>
          <w:sz w:val="20"/>
          <w:szCs w:val="20"/>
          <w:color w:val="auto"/>
        </w:rPr>
      </w:pPr>
      <w:r>
        <w:rPr>
          <w:rFonts w:ascii="Arial" w:cs="Arial" w:eastAsia="Arial" w:hAnsi="Arial"/>
          <w:sz w:val="17"/>
          <w:szCs w:val="17"/>
          <w:color w:val="auto"/>
        </w:rPr>
        <w:t>/s/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140652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06525" cy="7620"/>
                    </a:xfrm>
                    <a:prstGeom prst="rect">
                      <a:avLst/>
                    </a:prstGeom>
                    <a:noFill/>
                  </pic:spPr>
                </pic:pic>
              </a:graphicData>
            </a:graphic>
          </wp:anchor>
        </w:drawing>
      </w:r>
    </w:p>
    <w:p>
      <w:pPr>
        <w:spacing w:after="0" w:line="11" w:lineRule="exact"/>
        <w:rPr>
          <w:sz w:val="20"/>
          <w:szCs w:val="20"/>
          <w:color w:val="auto"/>
        </w:rPr>
      </w:pPr>
    </w:p>
    <w:p>
      <w:pPr>
        <w:ind w:left="9"/>
        <w:spacing w:after="0"/>
        <w:rPr>
          <w:sz w:val="20"/>
          <w:szCs w:val="20"/>
          <w:color w:val="auto"/>
        </w:rPr>
      </w:pPr>
      <w:r>
        <w:rPr>
          <w:rFonts w:ascii="Arial" w:cs="Arial" w:eastAsia="Arial" w:hAnsi="Arial"/>
          <w:sz w:val="17"/>
          <w:szCs w:val="17"/>
          <w:color w:val="auto"/>
        </w:rPr>
        <w:t>Hal S. Jones</w:t>
      </w:r>
    </w:p>
    <w:p>
      <w:pPr>
        <w:ind w:left="9"/>
        <w:spacing w:after="0" w:line="228" w:lineRule="auto"/>
        <w:rPr>
          <w:sz w:val="20"/>
          <w:szCs w:val="20"/>
          <w:color w:val="auto"/>
        </w:rPr>
      </w:pPr>
      <w:r>
        <w:rPr>
          <w:rFonts w:ascii="Arial" w:cs="Arial" w:eastAsia="Arial" w:hAnsi="Arial"/>
          <w:sz w:val="17"/>
          <w:szCs w:val="17"/>
          <w:color w:val="auto"/>
        </w:rPr>
        <w:t>Senior Vice President-Finance</w:t>
      </w:r>
    </w:p>
    <w:p>
      <w:pPr>
        <w:ind w:left="9"/>
        <w:spacing w:after="0"/>
        <w:rPr>
          <w:sz w:val="20"/>
          <w:szCs w:val="20"/>
          <w:color w:val="auto"/>
        </w:rPr>
      </w:pPr>
      <w:r>
        <w:rPr>
          <w:rFonts w:ascii="Arial" w:cs="Arial" w:eastAsia="Arial" w:hAnsi="Arial"/>
          <w:sz w:val="17"/>
          <w:szCs w:val="17"/>
          <w:color w:val="auto"/>
        </w:rPr>
        <w:t>November 6,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362585</wp:posOffset>
            </wp:positionV>
            <wp:extent cx="7278370" cy="203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8370" cy="20320"/>
                    </a:xfrm>
                    <a:prstGeom prst="rect">
                      <a:avLst/>
                    </a:prstGeom>
                    <a:noFill/>
                  </pic:spPr>
                </pic:pic>
              </a:graphicData>
            </a:graphic>
          </wp:anchor>
        </w:drawing>
      </w:r>
    </w:p>
    <w:p>
      <w:pPr>
        <w:sectPr>
          <w:pgSz w:w="11900" w:h="16838" w:orient="portrait"/>
          <w:cols w:equalWidth="0" w:num="1">
            <w:col w:w="10949"/>
          </w:cols>
          <w:pgMar w:left="811" w:top="789" w:right="1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8"/>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2019-12-09T09:03:59Z</dcterms:created>
  <dcterms:modified xsi:type="dcterms:W3CDTF">2019-12-09T09:03:59Z</dcterms:modified>
</cp:coreProperties>
</file>