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135255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46355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79"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6"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1-671</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GRAHAM HOLDINGS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-305435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28575</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86" w:lineRule="exact"/>
        <w:rPr>
          <w:sz w:val="24"/>
          <w:szCs w:val="24"/>
          <w:color w:val="auto"/>
        </w:rPr>
      </w:pPr>
    </w:p>
    <w:tbl>
      <w:tblPr>
        <w:tblLayout w:type="fixed"/>
        <w:tblInd w:w="1080" w:type="dxa"/>
        <w:tblCellMar>
          <w:top w:w="0" w:type="dxa"/>
          <w:left w:w="0" w:type="dxa"/>
          <w:bottom w:w="0" w:type="dxa"/>
          <w:right w:w="0" w:type="dxa"/>
        </w:tblCellMar>
      </w:tblPr>
      <w:tr>
        <w:trPr>
          <w:trHeight w:val="239"/>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660" w:type="dxa"/>
            <w:vAlign w:val="bottom"/>
          </w:tcPr>
          <w:p>
            <w:pPr>
              <w:jc w:val="center"/>
              <w:ind w:right="3000"/>
              <w:spacing w:after="0"/>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6660" w:type="dxa"/>
            <w:vAlign w:val="bottom"/>
          </w:tcPr>
          <w:p>
            <w:pPr>
              <w:jc w:val="center"/>
              <w:ind w:right="3020"/>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8"/>
        </w:trPr>
        <w:tc>
          <w:tcPr>
            <w:tcW w:w="6660" w:type="dxa"/>
            <w:vAlign w:val="bottom"/>
          </w:tcPr>
          <w:p>
            <w:pPr>
              <w:jc w:val="center"/>
              <w:ind w:right="302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377"/>
        </w:trPr>
        <w:tc>
          <w:tcPr>
            <w:tcW w:w="6660" w:type="dxa"/>
            <w:vAlign w:val="bottom"/>
          </w:tcPr>
          <w:p>
            <w:pPr>
              <w:jc w:val="right"/>
              <w:ind w:right="1340"/>
              <w:spacing w:after="0"/>
              <w:rPr>
                <w:sz w:val="20"/>
                <w:szCs w:val="20"/>
                <w:color w:val="auto"/>
              </w:rPr>
            </w:pPr>
            <w:r>
              <w:rPr>
                <w:rFonts w:ascii="Arial" w:cs="Arial" w:eastAsia="Arial" w:hAnsi="Arial"/>
                <w:sz w:val="18"/>
                <w:szCs w:val="18"/>
                <w:b w:val="1"/>
                <w:bCs w:val="1"/>
                <w:color w:val="auto"/>
              </w:rPr>
              <w:t>(703) 345-6300</w:t>
            </w:r>
          </w:p>
        </w:tc>
        <w:tc>
          <w:tcPr>
            <w:tcW w:w="1440" w:type="dxa"/>
            <w:vAlign w:val="bottom"/>
          </w:tcPr>
          <w:p>
            <w:pPr>
              <w:spacing w:after="0"/>
              <w:rPr>
                <w:sz w:val="24"/>
                <w:szCs w:val="24"/>
                <w:color w:val="auto"/>
              </w:rPr>
            </w:pPr>
          </w:p>
        </w:tc>
      </w:tr>
      <w:tr>
        <w:trPr>
          <w:trHeight w:val="190"/>
        </w:trPr>
        <w:tc>
          <w:tcPr>
            <w:tcW w:w="6660" w:type="dxa"/>
            <w:vAlign w:val="bottom"/>
          </w:tcPr>
          <w:p>
            <w:pPr>
              <w:jc w:val="center"/>
              <w:ind w:left="25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153670</wp:posOffset>
            </wp:positionV>
            <wp:extent cx="4913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315"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3" w:lineRule="exact"/>
        <w:rPr>
          <w:sz w:val="24"/>
          <w:szCs w:val="24"/>
          <w:color w:val="auto"/>
        </w:rPr>
      </w:pPr>
    </w:p>
    <w:p>
      <w:pPr>
        <w:ind w:right="340"/>
        <w:spacing w:after="0" w:line="29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 reporting company” in Rule 12b-2 of the Exchange Act.</w:t>
      </w:r>
    </w:p>
    <w:p>
      <w:pPr>
        <w:spacing w:after="0" w:line="74" w:lineRule="exact"/>
        <w:rPr>
          <w:sz w:val="24"/>
          <w:szCs w:val="24"/>
          <w:color w:val="auto"/>
        </w:rPr>
      </w:pPr>
    </w:p>
    <w:p>
      <w:pPr>
        <w:ind w:left="40"/>
        <w:spacing w:after="0" w:line="189" w:lineRule="exact"/>
        <w:tabs>
          <w:tab w:leader="none" w:pos="2440" w:val="left"/>
          <w:tab w:leader="none" w:pos="4940" w:val="left"/>
          <w:tab w:leader="none" w:pos="5400" w:val="left"/>
          <w:tab w:leader="none" w:pos="7940" w:val="left"/>
          <w:tab w:leader="none" w:pos="1098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spacing w:after="0" w:line="207" w:lineRule="exact"/>
        <w:tabs>
          <w:tab w:leader="none" w:pos="8260" w:val="left"/>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w:t>
        <w:tab/>
        <w:t xml:space="preserve">No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October 31, 2014:</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997,023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4,796,637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54"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GRAHAM HOLDINGS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2"/>
          </w:tcPr>
          <w:p>
            <w:pPr>
              <w:spacing w:after="0"/>
              <w:rPr>
                <w:sz w:val="20"/>
                <w:szCs w:val="20"/>
                <w:color w:val="auto"/>
              </w:rPr>
            </w:pPr>
            <w:r>
              <w:rPr>
                <w:rFonts w:ascii="Arial" w:cs="Arial" w:eastAsia="Arial" w:hAnsi="Arial"/>
                <w:sz w:val="16"/>
                <w:szCs w:val="16"/>
                <w:color w:val="auto"/>
              </w:rPr>
              <w:t>PART I. FINANCIAL INFORMATION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6"/>
                <w:szCs w:val="16"/>
                <w:color w:val="auto"/>
              </w:rPr>
              <w:t>Item 1.</w:t>
            </w:r>
          </w:p>
        </w:tc>
        <w:tc>
          <w:tcPr>
            <w:tcW w:w="10400" w:type="dxa"/>
            <w:vAlign w:val="bottom"/>
          </w:tcPr>
          <w:p>
            <w:pPr>
              <w:ind w:left="20"/>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a. Condensed Consolidated Statements of Operations (Unaudited) for the Three and Nine Months Ended September 30, 2014 and 2013</w:t>
            </w:r>
          </w:p>
        </w:tc>
        <w:tc>
          <w:tcPr>
            <w:tcW w:w="180" w:type="dxa"/>
            <w:vAlign w:val="bottom"/>
            <w:gridSpan w:val="2"/>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495"/>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b. Condensed Consolidated Statements of Comprehensive Income (Unaudited) for the Three and Nine Months Ended September 30,</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60"/>
        </w:trPr>
        <w:tc>
          <w:tcPr>
            <w:tcW w:w="780" w:type="dxa"/>
            <w:vAlign w:val="bottom"/>
          </w:tcPr>
          <w:p>
            <w:pPr>
              <w:spacing w:after="0"/>
              <w:rPr>
                <w:sz w:val="13"/>
                <w:szCs w:val="13"/>
                <w:color w:val="auto"/>
              </w:rPr>
            </w:pPr>
          </w:p>
        </w:tc>
        <w:tc>
          <w:tcPr>
            <w:tcW w:w="10400" w:type="dxa"/>
            <w:vAlign w:val="bottom"/>
          </w:tcPr>
          <w:p>
            <w:pPr>
              <w:ind w:left="20"/>
              <w:spacing w:after="0" w:line="160" w:lineRule="exact"/>
              <w:rPr>
                <w:sz w:val="20"/>
                <w:szCs w:val="20"/>
                <w:color w:val="auto"/>
              </w:rPr>
            </w:pPr>
            <w:r>
              <w:rPr>
                <w:rFonts w:ascii="Arial" w:cs="Arial" w:eastAsia="Arial" w:hAnsi="Arial"/>
                <w:sz w:val="16"/>
                <w:szCs w:val="16"/>
                <w:color w:val="auto"/>
              </w:rPr>
              <w:t>2014 and 2013</w:t>
            </w:r>
          </w:p>
        </w:tc>
        <w:tc>
          <w:tcPr>
            <w:tcW w:w="80" w:type="dxa"/>
            <w:vAlign w:val="bottom"/>
          </w:tcPr>
          <w:p>
            <w:pPr>
              <w:spacing w:after="0"/>
              <w:rPr>
                <w:sz w:val="13"/>
                <w:szCs w:val="13"/>
                <w:color w:val="auto"/>
              </w:rPr>
            </w:pPr>
          </w:p>
        </w:tc>
        <w:tc>
          <w:tcPr>
            <w:tcW w:w="100" w:type="dxa"/>
            <w:vAlign w:val="bottom"/>
            <w:tcBorders>
              <w:bottom w:val="single" w:sz="8" w:color="0000EE"/>
            </w:tcBorders>
          </w:tcPr>
          <w:p>
            <w:pPr>
              <w:jc w:val="right"/>
              <w:spacing w:after="0" w:line="160" w:lineRule="exact"/>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c. Condensed Consolidated Balance Sheets at September 30, 2014 (Unaudited) and December 31,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3</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d. Condensed Consolidated Statements of Cash Flows (Unaudited) for the Nine Months Ended September 30, 2014 and 2013</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r>
      <w:tr>
        <w:trPr>
          <w:trHeight w:val="466"/>
        </w:trPr>
        <w:tc>
          <w:tcPr>
            <w:tcW w:w="780" w:type="dxa"/>
            <w:vAlign w:val="bottom"/>
          </w:tcPr>
          <w:p>
            <w:pPr>
              <w:spacing w:after="0"/>
              <w:rPr>
                <w:sz w:val="24"/>
                <w:szCs w:val="24"/>
                <w:color w:val="auto"/>
              </w:rPr>
            </w:pPr>
          </w:p>
        </w:tc>
        <w:tc>
          <w:tcPr>
            <w:tcW w:w="10400" w:type="dxa"/>
            <w:vAlign w:val="bottom"/>
          </w:tcPr>
          <w:p>
            <w:pPr>
              <w:ind w:left="20"/>
              <w:spacing w:after="0"/>
              <w:rPr>
                <w:sz w:val="20"/>
                <w:szCs w:val="20"/>
                <w:color w:val="auto"/>
              </w:rPr>
            </w:pPr>
            <w:r>
              <w:rPr>
                <w:rFonts w:ascii="Arial" w:cs="Arial" w:eastAsia="Arial" w:hAnsi="Arial"/>
                <w:sz w:val="16"/>
                <w:szCs w:val="16"/>
                <w:color w:val="auto"/>
              </w:rPr>
              <w:t>e. Notes to Condensed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5</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2.</w:t>
            </w:r>
          </w:p>
        </w:tc>
        <w:tc>
          <w:tcPr>
            <w:tcW w:w="10400" w:type="dxa"/>
            <w:vAlign w:val="bottom"/>
          </w:tcPr>
          <w:p>
            <w:pPr>
              <w:ind w:left="20"/>
              <w:spacing w:after="0"/>
              <w:rPr>
                <w:sz w:val="20"/>
                <w:szCs w:val="20"/>
                <w:color w:val="auto"/>
              </w:rPr>
            </w:pPr>
            <w:r>
              <w:rPr>
                <w:rFonts w:ascii="Arial" w:cs="Arial" w:eastAsia="Arial" w:hAnsi="Arial"/>
                <w:sz w:val="16"/>
                <w:szCs w:val="16"/>
                <w:color w:val="auto"/>
              </w:rPr>
              <w:t>Management’s Discussion and Analysis of Results of Operations and Financial Condition</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19</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3.</w:t>
            </w:r>
          </w:p>
        </w:tc>
        <w:tc>
          <w:tcPr>
            <w:tcW w:w="10400" w:type="dxa"/>
            <w:vAlign w:val="bottom"/>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27</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rPr>
              <w:t>Item 4.</w:t>
            </w:r>
          </w:p>
        </w:tc>
        <w:tc>
          <w:tcPr>
            <w:tcW w:w="10400" w:type="dxa"/>
            <w:vAlign w:val="bottom"/>
          </w:tcPr>
          <w:p>
            <w:pPr>
              <w:ind w:left="20"/>
              <w:spacing w:after="0"/>
              <w:rPr>
                <w:sz w:val="20"/>
                <w:szCs w:val="20"/>
                <w:color w:val="auto"/>
              </w:rPr>
            </w:pPr>
            <w:r>
              <w:rPr>
                <w:rFonts w:ascii="Arial" w:cs="Arial" w:eastAsia="Arial" w:hAnsi="Arial"/>
                <w:sz w:val="16"/>
                <w:szCs w:val="16"/>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28</w:t>
              </w:r>
            </w:hyperlink>
          </w:p>
        </w:tc>
      </w:tr>
      <w:tr>
        <w:trPr>
          <w:trHeight w:val="501"/>
        </w:trPr>
        <w:tc>
          <w:tcPr>
            <w:tcW w:w="11180" w:type="dxa"/>
            <w:vAlign w:val="bottom"/>
            <w:gridSpan w:val="2"/>
          </w:tcPr>
          <w:p>
            <w:pPr>
              <w:spacing w:after="0"/>
              <w:rPr>
                <w:sz w:val="20"/>
                <w:szCs w:val="20"/>
                <w:color w:val="auto"/>
              </w:rPr>
            </w:pPr>
            <w:r>
              <w:rPr>
                <w:rFonts w:ascii="Arial" w:cs="Arial" w:eastAsia="Arial" w:hAnsi="Arial"/>
                <w:sz w:val="16"/>
                <w:szCs w:val="16"/>
                <w:color w:val="auto"/>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780" w:type="dxa"/>
            <w:vAlign w:val="bottom"/>
          </w:tcPr>
          <w:p>
            <w:pPr>
              <w:spacing w:after="0"/>
              <w:rPr>
                <w:sz w:val="20"/>
                <w:szCs w:val="20"/>
                <w:color w:val="auto"/>
              </w:rPr>
            </w:pPr>
            <w:r>
              <w:rPr>
                <w:rFonts w:ascii="Arial" w:cs="Arial" w:eastAsia="Arial" w:hAnsi="Arial"/>
                <w:sz w:val="16"/>
                <w:szCs w:val="16"/>
                <w:color w:val="auto"/>
              </w:rPr>
              <w:t>Item 6.</w:t>
            </w:r>
          </w:p>
        </w:tc>
        <w:tc>
          <w:tcPr>
            <w:tcW w:w="10400" w:type="dxa"/>
            <w:vAlign w:val="bottom"/>
          </w:tcPr>
          <w:p>
            <w:pPr>
              <w:ind w:left="20"/>
              <w:spacing w:after="0"/>
              <w:rPr>
                <w:sz w:val="20"/>
                <w:szCs w:val="20"/>
                <w:color w:val="auto"/>
              </w:rPr>
            </w:pPr>
            <w:r>
              <w:rPr>
                <w:rFonts w:ascii="Arial" w:cs="Arial" w:eastAsia="Arial" w:hAnsi="Arial"/>
                <w:sz w:val="16"/>
                <w:szCs w:val="16"/>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29</w:t>
              </w:r>
            </w:hyperlink>
          </w:p>
        </w:tc>
      </w:tr>
      <w:tr>
        <w:trPr>
          <w:trHeight w:val="466"/>
        </w:trPr>
        <w:tc>
          <w:tcPr>
            <w:tcW w:w="780" w:type="dxa"/>
            <w:vAlign w:val="bottom"/>
          </w:tcPr>
          <w:p>
            <w:pPr>
              <w:spacing w:after="0"/>
              <w:rPr>
                <w:sz w:val="20"/>
                <w:szCs w:val="20"/>
                <w:color w:val="auto"/>
              </w:rPr>
            </w:pPr>
            <w:r>
              <w:rPr>
                <w:rFonts w:ascii="Arial" w:cs="Arial" w:eastAsia="Arial" w:hAnsi="Arial"/>
                <w:sz w:val="16"/>
                <w:szCs w:val="16"/>
                <w:color w:val="auto"/>
                <w:w w:val="99"/>
              </w:rPr>
              <w:t>Signatures</w:t>
            </w:r>
          </w:p>
        </w:tc>
        <w:tc>
          <w:tcPr>
            <w:tcW w:w="104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4">
              <w:r>
                <w:rPr>
                  <w:rFonts w:ascii="Arial" w:cs="Arial" w:eastAsia="Arial" w:hAnsi="Arial"/>
                  <w:sz w:val="16"/>
                  <w:szCs w:val="16"/>
                  <w:color w:val="0000EE"/>
                  <w:w w:val="89"/>
                </w:rPr>
                <w:t>30</w:t>
              </w:r>
            </w:hyperlink>
          </w:p>
        </w:tc>
      </w:tr>
    </w:tbl>
    <w:p>
      <w:pPr>
        <w:sectPr>
          <w:pgSz w:w="11900" w:h="16838" w:orient="portrait"/>
          <w:cols w:equalWidth="0" w:num="1">
            <w:col w:w="11360"/>
          </w:cols>
          <w:pgMar w:left="280" w:top="57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w w:val="96"/>
              </w:rPr>
              <w:t>2013</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543,918</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543,599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1,609,036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1,613,116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183,161</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190,302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562,012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569,365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81,583</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73,549</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242,305</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222,569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90,209</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48,651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196,470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135,619</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898,871</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856,101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2,609,823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2,540,669</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398,922</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393,010</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1,171,012</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1,160,026</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358,189</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327,062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1,005,704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979,687</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53,074</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54,672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158,280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170,431</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7,405</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2,468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13,117</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817,590</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777,212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2,348,113</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2,318,924</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81,281</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78,889</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261,710</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221,745</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4,613</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5,892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100,168</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13,178</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529</w:t>
            </w:r>
          </w:p>
        </w:tc>
        <w:tc>
          <w:tcPr>
            <w:tcW w:w="5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642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1,769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(9,330)</w:t>
            </w:r>
          </w:p>
        </w:tc>
        <w:tc>
          <w:tcPr>
            <w:tcW w:w="5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(9,221)</w:t>
            </w:r>
          </w:p>
        </w:tc>
        <w:tc>
          <w:tcPr>
            <w:tcW w:w="3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(26,707)</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(27,229)</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64,526</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8,110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465,913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(8,831)</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141,619</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84,312</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802,853</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200,537</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58,200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29,900</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214,200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77,400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83,419</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54,412</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588,653</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123,137</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(6,980)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(23,988)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369,941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(42,320)</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76,439</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30,424</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958,594</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80,817</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121</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839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300" w:type="dxa"/>
            <w:vAlign w:val="bottom"/>
          </w:tcPr>
          <w:p>
            <w:pPr>
              <w:spacing w:after="0"/>
              <w:rPr>
                <w:sz w:val="21"/>
                <w:szCs w:val="21"/>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76,560</w:t>
            </w:r>
          </w:p>
        </w:tc>
        <w:tc>
          <w:tcPr>
            <w:tcW w:w="54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30,349</w:t>
            </w:r>
          </w:p>
        </w:tc>
        <w:tc>
          <w:tcPr>
            <w:tcW w:w="34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959,433</w:t>
            </w:r>
          </w:p>
        </w:tc>
        <w:tc>
          <w:tcPr>
            <w:tcW w:w="3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80,392</w:t>
            </w: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(847)</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18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76,351</w:t>
            </w:r>
          </w:p>
        </w:tc>
        <w:tc>
          <w:tcPr>
            <w:tcW w:w="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958,586</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30,144</w:t>
            </w: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79,537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83,331</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54,132</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588,645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121,857</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(Loss) income from discontinued operations, net of tax</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(6,980)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(23,988)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369,941</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(42,320)</w:t>
            </w:r>
          </w:p>
        </w:tc>
        <w:tc>
          <w:tcPr>
            <w:tcW w:w="0" w:type="dxa"/>
            <w:vAlign w:val="bottom"/>
          </w:tcPr>
          <w:p>
            <w:pPr>
              <w:spacing w:after="0"/>
              <w:rPr>
                <w:sz w:val="1"/>
                <w:szCs w:val="1"/>
                <w:color w:val="auto"/>
              </w:rPr>
            </w:pPr>
          </w:p>
        </w:tc>
      </w:tr>
      <w:tr>
        <w:trPr>
          <w:trHeight w:val="264"/>
        </w:trPr>
        <w:tc>
          <w:tcPr>
            <w:tcW w:w="606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76,351</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30,144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958,586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79,537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00"/>
              <w:spacing w:after="0"/>
              <w:rPr>
                <w:sz w:val="20"/>
                <w:szCs w:val="20"/>
                <w:color w:val="auto"/>
              </w:rPr>
            </w:pPr>
            <w:r>
              <w:rPr>
                <w:rFonts w:ascii="Arial" w:cs="Arial" w:eastAsia="Arial" w:hAnsi="Arial"/>
                <w:sz w:val="16"/>
                <w:szCs w:val="16"/>
                <w:b w:val="1"/>
                <w:bCs w:val="1"/>
                <w:color w:val="auto"/>
              </w:rPr>
              <w:t>Stockholders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14.38</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7.29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85.55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Basic (loss)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53.75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13.18</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139.30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5,671</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7,231</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6,737</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6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14.32</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7.28</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85.24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83"/>
        </w:trPr>
        <w:tc>
          <w:tcPr>
            <w:tcW w:w="6060" w:type="dxa"/>
            <w:vAlign w:val="bottom"/>
          </w:tcPr>
          <w:p>
            <w:pPr>
              <w:ind w:left="28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53.55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13.12</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138.79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5,757</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7,337</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6,823</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62"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62"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4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5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7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r>
    </w:tbl>
    <w:p>
      <w:pPr>
        <w:spacing w:after="0" w:line="36"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440" w:hanging="161"/>
        <w:spacing w:after="0" w:line="260"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Settlement gain included in net income</w:t>
      </w:r>
    </w:p>
    <w:p>
      <w:pPr>
        <w:spacing w:after="0" w:line="3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flow hedge gain</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(expense) benefit related to items of other comprehensive (loss) income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Comprehensive loss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76,439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30,424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958,594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80,817</w:t>
            </w:r>
          </w:p>
        </w:tc>
      </w:tr>
      <w:tr>
        <w:trPr>
          <w:trHeight w:val="810"/>
        </w:trPr>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(9,777)</w:t>
            </w:r>
          </w:p>
        </w:tc>
        <w:tc>
          <w:tcPr>
            <w:tcW w:w="40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5,639</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(7,111)</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(2,061)</w:t>
            </w:r>
          </w:p>
        </w:tc>
      </w:tr>
      <w:tr>
        <w:trPr>
          <w:trHeight w:val="540"/>
        </w:trPr>
        <w:tc>
          <w:tcPr>
            <w:tcW w:w="340" w:type="dxa"/>
            <w:vAlign w:val="bottom"/>
          </w:tcPr>
          <w:p>
            <w:pPr>
              <w:spacing w:after="0"/>
              <w:rPr>
                <w:sz w:val="24"/>
                <w:szCs w:val="24"/>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9,734</w:t>
            </w:r>
          </w:p>
        </w:tc>
        <w:tc>
          <w:tcPr>
            <w:tcW w:w="40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938</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46,139</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81,439</w:t>
            </w:r>
          </w:p>
        </w:tc>
      </w:tr>
      <w:tr>
        <w:trPr>
          <w:trHeight w:val="445"/>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(265,274)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251"/>
        </w:trPr>
        <w:tc>
          <w:tcPr>
            <w:tcW w:w="3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9,734</w:t>
            </w:r>
          </w:p>
        </w:tc>
        <w:tc>
          <w:tcPr>
            <w:tcW w:w="40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938</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(219,135)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80,555</w:t>
            </w:r>
          </w:p>
        </w:tc>
      </w:tr>
      <w:tr>
        <w:trPr>
          <w:trHeight w:val="540"/>
        </w:trPr>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(101)</w:t>
            </w:r>
          </w:p>
        </w:tc>
        <w:tc>
          <w:tcPr>
            <w:tcW w:w="4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(305)</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(7,425)</w:t>
            </w:r>
          </w:p>
        </w:tc>
        <w:tc>
          <w:tcPr>
            <w:tcW w:w="40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2,004</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(22,032)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6,325</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51"/>
        </w:trPr>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(7,526)</w:t>
            </w:r>
          </w:p>
        </w:tc>
        <w:tc>
          <w:tcPr>
            <w:tcW w:w="40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1,620</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(22,337)</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1,649</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230</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r>
      <w:tr>
        <w:trPr>
          <w:trHeight w:val="251"/>
        </w:trPr>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(7,339)</w:t>
            </w:r>
          </w:p>
        </w:tc>
        <w:tc>
          <w:tcPr>
            <w:tcW w:w="40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8,212</w:t>
            </w:r>
          </w:p>
        </w:tc>
        <w:tc>
          <w:tcPr>
            <w:tcW w:w="32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(247,942)</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80,402</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(975)</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96,333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(32,985)</w:t>
            </w:r>
          </w:p>
        </w:tc>
      </w:tr>
      <w:tr>
        <w:trPr>
          <w:trHeight w:val="264"/>
        </w:trPr>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(8,314)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7,184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(151,609)</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47,417</w:t>
            </w:r>
          </w:p>
        </w:tc>
      </w:tr>
      <w:tr>
        <w:trPr>
          <w:trHeight w:val="251"/>
        </w:trPr>
        <w:tc>
          <w:tcPr>
            <w:tcW w:w="34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68,125</w:t>
            </w:r>
          </w:p>
        </w:tc>
        <w:tc>
          <w:tcPr>
            <w:tcW w:w="40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37,608</w:t>
            </w:r>
          </w:p>
        </w:tc>
        <w:tc>
          <w:tcPr>
            <w:tcW w:w="3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806,985</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128,234</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121</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68,246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807,824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127,787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220" w:space="300"/>
            <w:col w:w="4900"/>
          </w:cols>
          <w:pgMar w:left="240" w:top="576" w:right="239" w:bottom="1440" w:gutter="0" w:footer="0" w:header="0"/>
          <w:type w:val="continuous"/>
        </w:sectPr>
      </w:pPr>
    </w:p>
    <w:bookmarkStart w:id="4" w:name="page5"/>
    <w:bookmarkEnd w:id="4"/>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7"/>
                <w:szCs w:val="17"/>
                <w:color w:val="auto"/>
              </w:rPr>
            </w:pPr>
          </w:p>
        </w:tc>
      </w:tr>
      <w:tr>
        <w:trPr>
          <w:trHeight w:val="175"/>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5"/>
                <w:szCs w:val="15"/>
                <w:color w:val="auto"/>
              </w:rPr>
            </w:pPr>
          </w:p>
        </w:tc>
        <w:tc>
          <w:tcPr>
            <w:tcW w:w="126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2013</w:t>
            </w:r>
          </w:p>
        </w:tc>
      </w:tr>
      <w:tr>
        <w:trPr>
          <w:trHeight w:val="258"/>
        </w:trPr>
        <w:tc>
          <w:tcPr>
            <w:tcW w:w="8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441,786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569,719</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38,595</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83,769</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206,838</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522,318</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460,600</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428,653</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17,991</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25,774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10,774</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2,924</w:t>
            </w:r>
          </w:p>
        </w:tc>
      </w:tr>
      <w:tr>
        <w:trPr>
          <w:trHeight w:val="270"/>
        </w:trPr>
        <w:tc>
          <w:tcPr>
            <w:tcW w:w="83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78,277</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77,013</w:t>
            </w:r>
          </w:p>
        </w:tc>
      </w:tr>
      <w:tr>
        <w:trPr>
          <w:trHeight w:val="283"/>
        </w:trPr>
        <w:tc>
          <w:tcPr>
            <w:tcW w:w="8320" w:type="dxa"/>
            <w:vAlign w:val="bottom"/>
          </w:tcPr>
          <w:p>
            <w:pPr>
              <w:ind w:left="280"/>
              <w:spacing w:after="0"/>
              <w:rPr>
                <w:sz w:val="20"/>
                <w:szCs w:val="20"/>
                <w:color w:val="auto"/>
              </w:rPr>
            </w:pPr>
            <w:r>
              <w:rPr>
                <w:rFonts w:ascii="Arial" w:cs="Arial" w:eastAsia="Arial" w:hAnsi="Arial"/>
                <w:sz w:val="16"/>
                <w:szCs w:val="16"/>
                <w:color w:val="auto"/>
              </w:rPr>
              <w:t>Current assets held for sale (cash)</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1,473</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1,264,117</w:t>
            </w:r>
          </w:p>
        </w:tc>
        <w:tc>
          <w:tcPr>
            <w:tcW w:w="300" w:type="dxa"/>
            <w:vAlign w:val="bottom"/>
          </w:tcPr>
          <w:p>
            <w:pPr>
              <w:spacing w:after="0"/>
              <w:rPr>
                <w:sz w:val="21"/>
                <w:szCs w:val="21"/>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1,702,387</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870,182</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927,542</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21,976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15,754</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1,353,089</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1,288,622</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572,209</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541,278</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78,231</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39,588</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1,267,415</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1,245,505</w:t>
            </w:r>
          </w:p>
        </w:tc>
      </w:tr>
      <w:tr>
        <w:trPr>
          <w:trHeight w:val="270"/>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w:t>
            </w:r>
          </w:p>
        </w:tc>
        <w:tc>
          <w:tcPr>
            <w:tcW w:w="18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53,066</w:t>
            </w:r>
          </w:p>
        </w:tc>
        <w:tc>
          <w:tcPr>
            <w:tcW w:w="30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50,370</w:t>
            </w:r>
          </w:p>
        </w:tc>
      </w:tr>
      <w:tr>
        <w:trPr>
          <w:trHeight w:val="283"/>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Noncurrent Assets Held for Sale</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8,151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8320" w:type="dxa"/>
            <w:vAlign w:val="bottom"/>
          </w:tcPr>
          <w:p>
            <w:pPr>
              <w:ind w:left="4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5,488,436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5,811,046</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18" w:orient="portrait"/>
          <w:cols w:equalWidth="0" w:num="1">
            <w:col w:w="11380"/>
          </w:cols>
          <w:pgMar w:left="260" w:top="576" w:right="259" w:bottom="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Equity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Current Liabilities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Dividends declared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Short-term borrowings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liabilities held for sale</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Current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Postretirement Benefits Other Than Pensions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Accrued Compensation and Related Benefits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Deferred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Debt</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Total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Noncontrolling Interest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Redeemable 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Preferred Stock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462,860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505,699</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50,176</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58,411</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434,764</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366,831</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14,983</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50,460</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3,168</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1,306</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3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1,014,549</w:t>
            </w:r>
          </w:p>
        </w:tc>
        <w:tc>
          <w:tcPr>
            <w:tcW w:w="4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934,109</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34,614</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36,219</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223,213</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211,526</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88,840</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86,000</w:t>
            </w:r>
          </w:p>
        </w:tc>
      </w:tr>
      <w:tr>
        <w:trPr>
          <w:trHeight w:val="270"/>
        </w:trPr>
        <w:tc>
          <w:tcPr>
            <w:tcW w:w="38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795,005</w:t>
            </w:r>
          </w:p>
        </w:tc>
        <w:tc>
          <w:tcPr>
            <w:tcW w:w="4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778,735</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398,298</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447,608</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2,554,519</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2,494,197</w:t>
            </w:r>
          </w:p>
        </w:tc>
      </w:tr>
      <w:tr>
        <w:trPr>
          <w:trHeight w:val="251"/>
        </w:trPr>
        <w:tc>
          <w:tcPr>
            <w:tcW w:w="38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23,413</w:t>
            </w:r>
          </w:p>
        </w:tc>
        <w:tc>
          <w:tcPr>
            <w:tcW w:w="4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5,896</w:t>
            </w:r>
          </w:p>
        </w:tc>
      </w:tr>
      <w:tr>
        <w:trPr>
          <w:trHeight w:val="283"/>
        </w:trPr>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10,510</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10,665</w:t>
            </w:r>
          </w:p>
        </w:tc>
      </w:tr>
      <w:tr>
        <w:trPr>
          <w:trHeight w:val="264"/>
        </w:trPr>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305" w:lineRule="exact"/>
        <w:rPr>
          <w:sz w:val="20"/>
          <w:szCs w:val="20"/>
          <w:color w:val="auto"/>
        </w:rPr>
      </w:pPr>
    </w:p>
    <w:p>
      <w:pPr>
        <w:sectPr>
          <w:pgSz w:w="11900" w:h="16918" w:orient="portrait"/>
          <w:cols w:equalWidth="0" w:num="2">
            <w:col w:w="7600" w:space="720"/>
            <w:col w:w="3060"/>
          </w:cols>
          <w:pgMar w:left="260" w:top="576" w:right="259" w:bottom="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8300" w:type="dxa"/>
            <w:vAlign w:val="bottom"/>
          </w:tcPr>
          <w:p>
            <w:pPr>
              <w:ind w:left="260"/>
              <w:spacing w:after="0"/>
              <w:rPr>
                <w:sz w:val="20"/>
                <w:szCs w:val="20"/>
                <w:color w:val="auto"/>
              </w:rPr>
            </w:pPr>
            <w:r>
              <w:rPr>
                <w:rFonts w:ascii="Arial" w:cs="Arial" w:eastAsia="Arial" w:hAnsi="Arial"/>
                <w:sz w:val="16"/>
                <w:szCs w:val="16"/>
                <w:color w:val="auto"/>
              </w:rPr>
              <w:t>Common stock</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20,000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Capital in excess of par value</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296,108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288,129</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5,674,096</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4,782,777</w:t>
            </w:r>
          </w:p>
        </w:tc>
      </w:tr>
      <w:tr>
        <w:trPr>
          <w:trHeight w:val="270"/>
        </w:trPr>
        <w:tc>
          <w:tcPr>
            <w:tcW w:w="830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net of tax</w:t>
            </w:r>
          </w:p>
        </w:tc>
        <w:tc>
          <w:tcPr>
            <w:tcW w:w="18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17,902</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25,013</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available-for-sale securities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42,182</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173,663</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1800" w:type="dxa"/>
            <w:vAlign w:val="bottom"/>
          </w:tcPr>
          <w:p>
            <w:pPr>
              <w:jc w:val="right"/>
              <w:ind w:right="339"/>
              <w:spacing w:after="0"/>
              <w:rPr>
                <w:sz w:val="20"/>
                <w:szCs w:val="20"/>
                <w:color w:val="auto"/>
              </w:rPr>
            </w:pPr>
            <w:r>
              <w:rPr>
                <w:rFonts w:ascii="Arial" w:cs="Arial" w:eastAsia="Arial" w:hAnsi="Arial"/>
                <w:sz w:val="16"/>
                <w:szCs w:val="16"/>
                <w:b w:val="1"/>
                <w:bCs w:val="1"/>
                <w:color w:val="auto"/>
              </w:rPr>
              <w:t>488,044</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501,446</w:t>
            </w: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Cash flow hedge</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rPr>
              <w:t>(243)</w:t>
            </w:r>
          </w:p>
        </w:tc>
        <w:tc>
          <w:tcPr>
            <w:tcW w:w="126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83"/>
        </w:trPr>
        <w:tc>
          <w:tcPr>
            <w:tcW w:w="8300" w:type="dxa"/>
            <w:vAlign w:val="bottom"/>
          </w:tcPr>
          <w:p>
            <w:pPr>
              <w:ind w:left="260"/>
              <w:spacing w:after="0"/>
              <w:rPr>
                <w:sz w:val="20"/>
                <w:szCs w:val="20"/>
                <w:color w:val="auto"/>
              </w:rPr>
            </w:pPr>
            <w:r>
              <w:rPr>
                <w:rFonts w:ascii="Arial" w:cs="Arial" w:eastAsia="Arial" w:hAnsi="Arial"/>
                <w:sz w:val="16"/>
                <w:szCs w:val="16"/>
                <w:color w:val="auto"/>
              </w:rPr>
              <w:t>Cost of Class B common stock held in treasury</w:t>
            </w: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(3,648,032)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(2,490,333)</w:t>
            </w:r>
          </w:p>
        </w:tc>
      </w:tr>
      <w:tr>
        <w:trPr>
          <w:trHeight w:val="264"/>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2,890,057</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3,300,067</w:t>
            </w:r>
          </w:p>
        </w:tc>
      </w:tr>
      <w:tr>
        <w:trPr>
          <w:trHeight w:val="264"/>
        </w:trPr>
        <w:tc>
          <w:tcPr>
            <w:tcW w:w="830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9,937</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r>
      <w:tr>
        <w:trPr>
          <w:trHeight w:val="210"/>
        </w:trPr>
        <w:tc>
          <w:tcPr>
            <w:tcW w:w="83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18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ectPr>
          <w:pgSz w:w="11900" w:h="16918" w:orient="portrait"/>
          <w:cols w:equalWidth="0" w:num="1">
            <w:col w:w="11380"/>
          </w:cols>
          <w:pgMar w:left="260" w:top="576" w:right="259" w:bottom="0" w:gutter="0" w:footer="0" w:header="0"/>
          <w:type w:val="continuous"/>
        </w:sectPr>
      </w:pPr>
    </w:p>
    <w:bookmarkStart w:id="5" w:name="page6"/>
    <w:bookmarkEnd w:id="5"/>
    <w:p>
      <w:pPr>
        <w:jc w:val="both"/>
        <w:ind w:left="9000"/>
        <w:spacing w:after="0"/>
        <w:tabs>
          <w:tab w:leader="none" w:pos="10560" w:val="left"/>
        </w:tabs>
        <w:rPr>
          <w:sz w:val="20"/>
          <w:szCs w:val="20"/>
          <w:color w:val="auto"/>
        </w:rPr>
      </w:pPr>
      <w:r>
        <w:rPr>
          <w:rFonts w:ascii="Arial" w:cs="Arial" w:eastAsia="Arial" w:hAnsi="Arial"/>
          <w:sz w:val="16"/>
          <w:szCs w:val="16"/>
          <w:b w:val="1"/>
          <w:bCs w:val="1"/>
          <w:color w:val="auto"/>
        </w:rPr>
        <w:t>2,899,994</w:t>
      </w:r>
      <w:r>
        <w:rPr>
          <w:sz w:val="20"/>
          <w:szCs w:val="20"/>
          <w:color w:val="auto"/>
        </w:rPr>
        <w:tab/>
      </w:r>
      <w:r>
        <w:rPr>
          <w:rFonts w:ascii="Arial" w:cs="Arial" w:eastAsia="Arial" w:hAnsi="Arial"/>
          <w:sz w:val="16"/>
          <w:szCs w:val="16"/>
          <w:color w:val="auto"/>
        </w:rPr>
        <w:t>3,300,288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48895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7" w:lineRule="exact"/>
        <w:rPr>
          <w:sz w:val="20"/>
          <w:szCs w:val="20"/>
          <w:color w:val="auto"/>
        </w:rPr>
      </w:pPr>
    </w:p>
    <w:p>
      <w:pPr>
        <w:ind w:left="720"/>
        <w:spacing w:after="0"/>
        <w:tabs>
          <w:tab w:leader="none" w:pos="8340" w:val="left"/>
          <w:tab w:leader="none" w:pos="8980" w:val="left"/>
          <w:tab w:leader="none" w:pos="9940" w:val="left"/>
          <w:tab w:leader="none" w:pos="10560" w:val="left"/>
        </w:tabs>
        <w:rPr>
          <w:sz w:val="20"/>
          <w:szCs w:val="20"/>
          <w:color w:val="auto"/>
        </w:rPr>
      </w:pPr>
      <w:r>
        <w:rPr>
          <w:rFonts w:ascii="Arial" w:cs="Arial" w:eastAsia="Arial" w:hAnsi="Arial"/>
          <w:sz w:val="16"/>
          <w:szCs w:val="16"/>
          <w:b w:val="1"/>
          <w:bCs w:val="1"/>
          <w:color w:val="auto"/>
        </w:rPr>
        <w:t>Total Liabilities and Equity</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5,488,436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5,811,046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31750</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48895</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958,594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80,817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159,917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191,388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13,847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9,867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Intangible assets impairment charge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7,774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pension (benefit) expense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(51,637)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11,425</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8,374</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22,700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13,123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34,429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Foreign exchange loss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2,618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9,350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loss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(354,612)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on disposition or write-downs of marketable equity securities and cost method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(266,173)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Equity in earnings of affiliates, net of certain distributions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(96,315)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(13,168)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Provision (benefit) for deferred income taxes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8,329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(8,802)</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loss on sale or write-down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(119,158)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1,476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gain on sale of intangible assets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(75,249)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restricted cash</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45,174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(18,667)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accounts receivable,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(12,867)</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(32,717)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decrease in inventories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(1,978)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1,138</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(56,666)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8,587</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deferred revenue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70,011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31,885</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Increase in income taxes payable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68,081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21,884</w:t>
            </w: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Decrease (increase)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17,278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(4,662)</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(1,588)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1,340</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336,877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347,626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commercial paper</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(399,758)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Proceeds from maturities of commercial paper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349,793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248,938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5,800</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(200,793)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(19,927)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(162,441)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(143,298)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Net distribution from equity affiliate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93,481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Purchases of equity affiliates and cost method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(8,388)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(12,029)</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(5,097)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(84,265)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(169,457)</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Common shares repurchased, including the Berkshire Exchange transaction</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(327,718)</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(4,196)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(53,131)</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(1,315)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(240,303)</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6,028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w:t>
            </w: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(376,136)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(247,545)</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(2,936)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(126,460)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(70,772)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Beginning Cash and Cash Equivalents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569,719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512,431</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Ending Cash and Cash Equivalents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443,259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441,659</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20"/>
          </w:cols>
          <w:pgMar w:left="240" w:top="576" w:right="239" w:bottom="1097"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76" w:right="239" w:bottom="1097"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five television broadcast stations).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ind w:left="220" w:hanging="212"/>
        <w:spacing w:after="0" w:line="223"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160"/>
        <w:spacing w:after="0" w:line="222"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three and nine months ended September 30, 2014 and 2013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2013.</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13"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16"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 An asset or business is classified as held for sale when (i) management commits to a plan to sell the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(ii) the asset or business is available for immediate sale in its present condition; (iii) the asset or business is actively marketed for sale at a reasonable price; (iv) the sale is expected to be completed within one year; and (v) it is unlikely significant changes to the plan will be made or that the plan will be withdrawn. The assets and related liabilities are aggregated and reported separately in the Company’s condensed consolidated balance sheet.</w:t>
      </w:r>
    </w:p>
    <w:p>
      <w:pPr>
        <w:spacing w:after="0" w:line="11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represents amounts held for students that were received from U.S. Federal and state governments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aid grant and loan programs, such as Title IV of the U.S. Federal Higher Education Act of 1965 (Higher Education Act), as amended, that the Company is required to maintain pursuant to 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117"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 Accounts receivable have been reduced by an allowance for amounts that may be uncollectible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8" w:name="page9"/>
    <w:bookmarkEnd w:id="8"/>
    <w:p>
      <w:pPr>
        <w:ind w:right="240"/>
        <w:spacing w:after="0" w:line="235" w:lineRule="auto"/>
        <w:rPr>
          <w:sz w:val="20"/>
          <w:szCs w:val="20"/>
          <w:color w:val="auto"/>
        </w:rPr>
      </w:pPr>
      <w:r>
        <w:rPr>
          <w:rFonts w:ascii="Arial" w:cs="Arial" w:eastAsia="Arial" w:hAnsi="Arial"/>
          <w:sz w:val="18"/>
          <w:szCs w:val="18"/>
          <w:color w:val="auto"/>
        </w:rPr>
        <w:t>accounts following the passage of a certain period of time, or generally when the account is turned over for collection to an outside collection agency.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Kaplan Higher Education's (KHE) refund policy may permit students who do not complete a course to be eligible for a</w:t>
      </w:r>
      <w:r>
        <w:rPr>
          <w:rFonts w:ascii="Arial" w:cs="Arial" w:eastAsia="Arial" w:hAnsi="Arial"/>
          <w:sz w:val="18"/>
          <w:szCs w:val="18"/>
          <w:i w:val="1"/>
          <w:iCs w:val="1"/>
          <w:color w:val="auto"/>
        </w:rPr>
        <w:t xml:space="preserve"> </w:t>
      </w:r>
      <w:r>
        <w:rPr>
          <w:rFonts w:ascii="Arial" w:cs="Arial" w:eastAsia="Arial" w:hAnsi="Arial"/>
          <w:sz w:val="18"/>
          <w:szCs w:val="18"/>
          <w:color w:val="auto"/>
        </w:rPr>
        <w:t>refund for 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April 2014, the Financial Accounting Standards Board (FASB) issued new</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modifies the requirements for reporting discontinued operations. The new guidance requires the reporting of the disposal of an entity or component of an entity as discontinued operations if the disposal represents a strategic shift that has or will have a major effect on the entity’s operations and financial results. The new guidance also expands the disclosures for discontinued operations and requires new disclosures related to individually material disposals that do not meet the definition of a discontinued operation. This guidance is effective for interim and fiscal years beginning after December 15, 2014. Early adoption is permitted for disposals that have not been reported in financial statements previously issued or available for issuance. The Company is in the process of evaluating the impact of this new guidance on its condensed consolidated financial statements.</w:t>
      </w:r>
    </w:p>
    <w:p>
      <w:pPr>
        <w:spacing w:after="0" w:line="137"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In May 2014, the FASB issued comprehensive new guidance that supersedes all existing revenue recognition guidance.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This guidance is effective for interim and fiscal years beginning after December 15, 2016. Early adoption is not permitted. The standard permits two implementation approaches, one requiring retrospective application of the new guidance with a restatement of prior years and one requiring prospective application of the new guidance with disclosure of results under the old guidance. The Company is in the process of evaluating the impact of this new guidance on its condensed consolidated financial statements, and believes such evaluation will extend over several future periods due to the significance of the changes to the Company's policies and business processes.</w:t>
      </w:r>
    </w:p>
    <w:p>
      <w:pPr>
        <w:spacing w:after="0" w:line="141" w:lineRule="exact"/>
        <w:rPr>
          <w:sz w:val="20"/>
          <w:szCs w:val="20"/>
          <w:color w:val="auto"/>
        </w:rPr>
      </w:pPr>
    </w:p>
    <w:p>
      <w:pPr>
        <w:jc w:val="both"/>
        <w:ind w:right="280"/>
        <w:spacing w:after="0" w:line="227" w:lineRule="auto"/>
        <w:rPr>
          <w:sz w:val="20"/>
          <w:szCs w:val="20"/>
          <w:color w:val="auto"/>
        </w:rPr>
      </w:pPr>
      <w:r>
        <w:rPr>
          <w:rFonts w:ascii="Arial" w:cs="Arial" w:eastAsia="Arial" w:hAnsi="Arial"/>
          <w:sz w:val="18"/>
          <w:szCs w:val="18"/>
          <w:color w:val="auto"/>
        </w:rPr>
        <w:t>In August 2014, the FASB issued new guidance that requires management to assess the Company’s ability to continue as a going concern, and to provide related disclosures in certain circumstances. This guidance is effective for interim and fiscal years ending after December 15, 2016, with early adoption permitted. The Company does not expect this guidance to have an impact on its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is expected to be sold by Kaplan in the fourth quarter of 2014. These sales resulted in a pre-tax loss of $4.4 million that was recorded in the third quarter of 2014.</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June 30, 2014, the Company and Berkshire Hathaway Inc. completed a transaction, as described in Note 4, in which Berkshire acquired a wholly-owned subsidiary of the Company that included, among other things, WPLG, a Miami-based television station; a $375.0 million gain from the WPLG sale was recorded in the second quarter of 2014.</w:t>
      </w:r>
    </w:p>
    <w:p>
      <w:pPr>
        <w:spacing w:after="0" w:line="137"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In March 2013, the Company completed the sale of The Herald which resulted in a pre-tax loss of $0.1 million that was recorded in the first quarter of 2013.</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results of operations of the schools in China, WPLG, the Publishing Subsidiaries and The Herald are included in the Company’s Condensed Consolidated Statements of Operations as Income (Loss) from Discontinued Operations, Net of Tax, for all periods presented. The Company did not reclassify its Statements of Cash Flows or prior Condensed Consolidated Balance Sheets to reflect the various discontinued operations.</w:t>
      </w:r>
    </w:p>
    <w:p>
      <w:pPr>
        <w:spacing w:after="0" w:line="135"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In the first quarter of 2014, an after-tax adjustment of $3.0 million was made to reduce the $100.0 million after-tax gain on the sale of the Publishing Subsidiaries previously reported in the fourth quarter of 2013, as a result of changes in estimates related to liabilities retained as part of the sale.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summarized (loss) income from discontinued operations, net of tax, is presented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w w:val="96"/>
              </w:rPr>
              <w:t>2013</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2013</w:t>
            </w: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1"/>
              <w:spacing w:after="0"/>
              <w:rPr>
                <w:sz w:val="20"/>
                <w:szCs w:val="20"/>
                <w:color w:val="auto"/>
              </w:rPr>
            </w:pPr>
            <w:r>
              <w:rPr>
                <w:rFonts w:ascii="Arial" w:cs="Arial" w:eastAsia="Arial" w:hAnsi="Arial"/>
                <w:sz w:val="16"/>
                <w:szCs w:val="16"/>
                <w:b w:val="1"/>
                <w:bCs w:val="1"/>
                <w:color w:val="auto"/>
              </w:rPr>
              <w:t>1,294</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141,152</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46,713</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441,001</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(2,225)</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(178,823)</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(39,580)</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(507,434)</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(931)</w:t>
            </w:r>
          </w:p>
        </w:tc>
        <w:tc>
          <w:tcPr>
            <w:tcW w:w="54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(37,671)</w:t>
            </w:r>
          </w:p>
        </w:tc>
        <w:tc>
          <w:tcPr>
            <w:tcW w:w="36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7,133</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(66,433)</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Provision (benefit) from income taxes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231</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(13,683)</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3,371</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(24,159)</w:t>
            </w:r>
          </w:p>
        </w:tc>
      </w:tr>
      <w:tr>
        <w:trPr>
          <w:trHeight w:val="25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 (Loss) Income from Discontinued Operations</w:t>
            </w:r>
          </w:p>
        </w:tc>
        <w:tc>
          <w:tcPr>
            <w:tcW w:w="30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(1,162)</w:t>
            </w:r>
          </w:p>
        </w:tc>
        <w:tc>
          <w:tcPr>
            <w:tcW w:w="54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(23,988)</w:t>
            </w:r>
          </w:p>
        </w:tc>
        <w:tc>
          <w:tcPr>
            <w:tcW w:w="360" w:type="dxa"/>
            <w:vAlign w:val="bottom"/>
          </w:tcPr>
          <w:p>
            <w:pPr>
              <w:spacing w:after="0"/>
              <w:rPr>
                <w:sz w:val="21"/>
                <w:szCs w:val="21"/>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3,762</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(42,274)</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(Loss) gain on sales of discontinued operations</w:t>
            </w:r>
          </w:p>
        </w:tc>
        <w:tc>
          <w:tcPr>
            <w:tcW w:w="300" w:type="dxa"/>
            <w:vAlign w:val="bottom"/>
          </w:tcPr>
          <w:p>
            <w:pPr>
              <w:spacing w:after="0"/>
              <w:rPr>
                <w:sz w:val="23"/>
                <w:szCs w:val="23"/>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b w:val="1"/>
                <w:bCs w:val="1"/>
                <w:color w:val="auto"/>
              </w:rPr>
              <w:t>(4,352)</w:t>
            </w:r>
          </w:p>
        </w:tc>
        <w:tc>
          <w:tcPr>
            <w:tcW w:w="5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349,875</w:t>
            </w: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Expense (benefit) from income taxes on sales of discontinued operations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1,466</w:t>
            </w: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(16,304)</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6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(6,980)</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(23,988)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369,941</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43"/>
              <w:spacing w:after="0"/>
              <w:rPr>
                <w:sz w:val="20"/>
                <w:szCs w:val="20"/>
                <w:color w:val="auto"/>
              </w:rPr>
            </w:pPr>
            <w:r>
              <w:rPr>
                <w:rFonts w:ascii="Arial" w:cs="Arial" w:eastAsia="Arial" w:hAnsi="Arial"/>
                <w:sz w:val="16"/>
                <w:szCs w:val="16"/>
                <w:b w:val="1"/>
                <w:bCs w:val="1"/>
                <w:color w:val="auto"/>
              </w:rPr>
              <w:t>56,967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197,718</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70,303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289,438</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127,270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487,156</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There were no new investments in marketable equity securities during the first nine months of 2014 and 2013. In the first quarter of 2014, the Company recorded a $0.5 million write-down of the Company's investment in Corinthian Colleges, Inc., a publicly traded company. In the second quarter of 2014, the Company sold its remaining investment in Corinthian Colleges, Inc. During the first nine months of 2014, the proceeds from the sale of these marketable securities were $5.8 million and net realized losses were $2.6 million. During the first nine months of 2013, the proceeds from sales of marketable securities were $3.6 million, and net realized gains on such sales were $0.9 million.</w:t>
      </w:r>
    </w:p>
    <w:p>
      <w:pPr>
        <w:spacing w:after="0" w:line="137"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As of September 30, 2014, the Company held investments in commercial paper totaling $50.0 million with original maturities of 91 to 180 days. These investments are included in Investments in marketable equity securities and other investments in the Condensed Consolidated Balance Sheets. The Company did not have any investments in commercial paper at December 31, 2013.</w:t>
      </w:r>
    </w:p>
    <w:p>
      <w:pPr>
        <w:spacing w:after="0" w:line="137"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On April 1, 2014, the Company received a gross cash distribution of $95.0 million from Classified Ventures' sale of apartments.com. In connection with this sale, the Company recorded a pre-tax gain of $90.9 million in the second quarter of 2014.</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will be held in escrow until October 1, 2015. The Company will record a pre-tax gain of approximately $393 million on the sale of its interest in Classified Ventures in the fourth quarter of 2014.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DISPOSITIONS AND EXCHANGES</w:t>
      </w:r>
    </w:p>
    <w:p>
      <w:pPr>
        <w:spacing w:after="0" w:line="144"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nine months of 2014, the Company acquired seven businesses totaling $204.9 million, comprised of four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in other businesses, two businesses in Kaplan Test Prep, and one business in Kaplan Higher Ed. The purchase price allocation mostly comprised goodwill, other intangible assets, and other current assets on a preliminary basis. In the first nine months of 2013, the Company acquired five small businesses included in other businesses and in its education division; the purchase price allocation mostly comprised goodwill and other intangible assets.</w:t>
      </w:r>
    </w:p>
    <w:p>
      <w:pPr>
        <w:spacing w:after="0" w:line="138"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leading providers of skilled home health care and hospice services in Michigan and Illinois. The operating results of these businesses are included in other businesses. The fair value of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0" w:name="page11"/>
    <w:bookmarkEnd w:id="10"/>
    <w:p>
      <w:pPr>
        <w:ind w:right="200"/>
        <w:spacing w:after="0" w:line="229" w:lineRule="auto"/>
        <w:rPr>
          <w:sz w:val="20"/>
          <w:szCs w:val="20"/>
          <w:color w:val="auto"/>
        </w:rPr>
      </w:pPr>
      <w:r>
        <w:rPr>
          <w:rFonts w:ascii="Arial" w:cs="Arial" w:eastAsia="Arial" w:hAnsi="Arial"/>
          <w:sz w:val="18"/>
          <w:szCs w:val="18"/>
          <w:color w:val="auto"/>
        </w:rPr>
        <w:t>redeemable noncontrolling interest in Residential Healthcare Group, Inc. was $18.8 million at the acquisition date, determined using a market approach. The minority shareholders have an option to put their shares to the Company starting in 2017, and the Company has an option to buy the shares of some minority shareholders in 2020 and the remaining minority shareholders in 2024.</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On August 1, 2013, the Company completed its acquisition of Forney Corporation, a global supplier of products and systems that control and monitor combustion processes in electric utility and industrial applications. The operating results of Forney are included in other businesses.</w:t>
      </w:r>
    </w:p>
    <w:p>
      <w:pPr>
        <w:spacing w:after="0" w:line="1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the second quarter of 2013, Kaplan purchased the remaining 15% noncontrolling interest in Kaplan China; this additional interest was accounted for as an equity transaction.</w:t>
      </w:r>
    </w:p>
    <w:p>
      <w:pPr>
        <w:spacing w:after="0" w:line="11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An additional school is expected to be sold in the fourth quarter of 2014.</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completed the sale of certain assets of The Herald, a daily and Sunday newspaper headquartered in Everett, WA.</w:t>
      </w:r>
    </w:p>
    <w:p>
      <w:pPr>
        <w:spacing w:after="0" w:line="12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39"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The pre-tax gain of $266.7 million related to the disposition of the Berkshire shares was not subject to income tax as the Berkshire exchange transaction qualifies as a tax-free distribution. The lower effective tax rate for income from continuing operations for the first nine months of 2014 of 26.7% primarily resulted from this tax-free transaction.</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discussed above, this exchange transaction includes significant noncash investing and financing activities. On the date of exchange, the fair value of the Berkshire Class A and B shares was $400.3 million and the fair value of WPLG was determined to be $438.0 million. In total, the Company recorded an increase in treasury stock of $1,165.4 million in the second quarter of 2014 in connection with the Berkshire exchange transaction.</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Company’s income from continuing operations excludes the businesses described in dispositions and exchanges above, which have been reclassified to discontinued operations, net of tax (see Note 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66"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second quarter of 2014, as a result of regulatory changes impacting Kaplan's operations in China, Kaplan recorded an intangible asset impairment charge of $7.8 million, reported in discontinued operations. The Company estimated the fair value of the student and customer relationships using an income approach.</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Amortization of intangible assets for the three months ended September 30, 2014 and 2013 was $7.4 million and $2.5 million, respectively. Amortization of intangible assets for the nine months ended September 30, 2014 and 2013 was $13.1 million and $8.8 million, respectively. Amortization of intangible assets is estimated to be approximately $4 million for the remainder of 2014, $17 million in 2015, $16 million in 2016, $12 million in 2017, $10 million in 2018 and $19 million thereafter.</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July 2014, the cable division sold wireless spectrum licenses that were purchased in 2006; a pre-tax non-operating gain of $75.2 million was recorded in the third quarter of 2014 in connection with these sales.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01"/>
              <w:spacing w:after="0"/>
              <w:rPr>
                <w:sz w:val="20"/>
                <w:szCs w:val="20"/>
                <w:color w:val="auto"/>
              </w:rPr>
            </w:pPr>
            <w:r>
              <w:rPr>
                <w:rFonts w:ascii="Arial" w:cs="Arial" w:eastAsia="Arial" w:hAnsi="Arial"/>
                <w:sz w:val="14"/>
                <w:szCs w:val="14"/>
                <w:b w:val="1"/>
                <w:bCs w:val="1"/>
                <w:color w:val="auto"/>
              </w:rPr>
              <w:t>Television</w:t>
            </w:r>
          </w:p>
        </w:tc>
        <w:tc>
          <w:tcPr>
            <w:tcW w:w="200" w:type="dxa"/>
            <w:vAlign w:val="bottom"/>
          </w:tcPr>
          <w:p>
            <w:pPr>
              <w:spacing w:after="0"/>
              <w:rPr>
                <w:sz w:val="14"/>
                <w:szCs w:val="1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Cable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1,073,433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203,165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34,877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1,396,963</w:t>
            </w:r>
          </w:p>
        </w:tc>
      </w:tr>
      <w:tr>
        <w:trPr>
          <w:trHeight w:val="283"/>
        </w:trPr>
        <w:tc>
          <w:tcPr>
            <w:tcW w:w="516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(108,341)</w:t>
            </w:r>
          </w:p>
        </w:tc>
      </w:tr>
      <w:tr>
        <w:trPr>
          <w:trHeight w:val="251"/>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971,174</w:t>
            </w:r>
          </w:p>
        </w:tc>
        <w:tc>
          <w:tcPr>
            <w:tcW w:w="300" w:type="dxa"/>
            <w:vAlign w:val="bottom"/>
          </w:tcPr>
          <w:p>
            <w:pPr>
              <w:spacing w:after="0"/>
              <w:rPr>
                <w:sz w:val="21"/>
                <w:szCs w:val="21"/>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85,488</w:t>
            </w:r>
          </w:p>
        </w:tc>
        <w:tc>
          <w:tcPr>
            <w:tcW w:w="260" w:type="dxa"/>
            <w:vAlign w:val="bottom"/>
          </w:tcPr>
          <w:p>
            <w:pPr>
              <w:spacing w:after="0"/>
              <w:rPr>
                <w:sz w:val="21"/>
                <w:szCs w:val="21"/>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color w:val="auto"/>
              </w:rPr>
              <w:t>203,165</w:t>
            </w:r>
          </w:p>
        </w:tc>
        <w:tc>
          <w:tcPr>
            <w:tcW w:w="20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28,795</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1,288,622</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14,941</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98,366</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113,307</w:t>
            </w:r>
          </w:p>
        </w:tc>
      </w:tr>
      <w:tr>
        <w:trPr>
          <w:trHeight w:val="270"/>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(2,420)</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(37,661)</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(40,081)</w:t>
            </w:r>
          </w:p>
        </w:tc>
      </w:tr>
      <w:tr>
        <w:trPr>
          <w:trHeight w:val="283"/>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(8,759)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(8,759)</w:t>
            </w:r>
          </w:p>
        </w:tc>
      </w:tr>
      <w:tr>
        <w:trPr>
          <w:trHeight w:val="251"/>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1,077,195</w:t>
            </w:r>
          </w:p>
        </w:tc>
        <w:tc>
          <w:tcPr>
            <w:tcW w:w="30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Arial" w:cs="Arial" w:eastAsia="Arial" w:hAnsi="Arial"/>
                <w:sz w:val="16"/>
                <w:szCs w:val="16"/>
                <w:b w:val="1"/>
                <w:bCs w:val="1"/>
                <w:color w:val="auto"/>
              </w:rPr>
              <w:t>165,504</w:t>
            </w:r>
          </w:p>
        </w:tc>
        <w:tc>
          <w:tcPr>
            <w:tcW w:w="20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133,243</w:t>
            </w:r>
          </w:p>
        </w:tc>
        <w:tc>
          <w:tcPr>
            <w:tcW w:w="28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1,461,430</w:t>
            </w:r>
          </w:p>
        </w:tc>
      </w:tr>
      <w:tr>
        <w:trPr>
          <w:trHeight w:val="283"/>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974,936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85,488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165,504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127,161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1,353,089</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040" w:type="dxa"/>
            <w:vAlign w:val="bottom"/>
          </w:tcPr>
          <w:p>
            <w:pPr>
              <w:jc w:val="right"/>
              <w:ind w:right="401"/>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40" w:type="dxa"/>
            <w:vAlign w:val="bottom"/>
          </w:tcPr>
          <w:p>
            <w:pPr>
              <w:jc w:val="right"/>
              <w:ind w:right="361"/>
              <w:spacing w:after="0"/>
              <w:rPr>
                <w:sz w:val="20"/>
                <w:szCs w:val="20"/>
                <w:color w:val="auto"/>
              </w:rPr>
            </w:pPr>
            <w:r>
              <w:rPr>
                <w:rFonts w:ascii="Arial" w:cs="Arial" w:eastAsia="Arial" w:hAnsi="Arial"/>
                <w:sz w:val="14"/>
                <w:szCs w:val="14"/>
                <w:b w:val="1"/>
                <w:bCs w:val="1"/>
                <w:color w:val="auto"/>
              </w:rPr>
              <w:t>Kaplan</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409,016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152,187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512,230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1,073,433</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251"/>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409,016</w:t>
            </w:r>
          </w:p>
        </w:tc>
        <w:tc>
          <w:tcPr>
            <w:tcW w:w="22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49,928</w:t>
            </w:r>
          </w:p>
        </w:tc>
        <w:tc>
          <w:tcPr>
            <w:tcW w:w="220" w:type="dxa"/>
            <w:vAlign w:val="bottom"/>
          </w:tcPr>
          <w:p>
            <w:pPr>
              <w:spacing w:after="0"/>
              <w:rPr>
                <w:sz w:val="21"/>
                <w:szCs w:val="21"/>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512,230</w:t>
            </w: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971,174</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1,343</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13,598</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14,941</w:t>
            </w: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(2,420)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(2,420)</w:t>
            </w: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(95)</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(8,664)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(8,759)</w:t>
            </w:r>
          </w:p>
        </w:tc>
      </w:tr>
      <w:tr>
        <w:trPr>
          <w:trHeight w:val="251"/>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2014</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410,264</w:t>
            </w:r>
          </w:p>
        </w:tc>
        <w:tc>
          <w:tcPr>
            <w:tcW w:w="2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165,785</w:t>
            </w:r>
          </w:p>
        </w:tc>
        <w:tc>
          <w:tcPr>
            <w:tcW w:w="220" w:type="dxa"/>
            <w:vAlign w:val="bottom"/>
          </w:tcPr>
          <w:p>
            <w:pPr>
              <w:spacing w:after="0"/>
              <w:rPr>
                <w:sz w:val="23"/>
                <w:szCs w:val="23"/>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501,146</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1,077,195</w:t>
            </w:r>
          </w:p>
        </w:tc>
      </w:tr>
      <w:tr>
        <w:trPr>
          <w:trHeight w:val="283"/>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264"/>
        </w:trPr>
        <w:tc>
          <w:tcPr>
            <w:tcW w:w="62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410,264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63,526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501,146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974,936</w:t>
            </w: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2013</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500" w:type="dxa"/>
            <w:vAlign w:val="bottom"/>
          </w:tcPr>
          <w:p>
            <w:pPr>
              <w:jc w:val="center"/>
              <w:ind w:left="42"/>
              <w:spacing w:after="0"/>
              <w:rPr>
                <w:sz w:val="20"/>
                <w:szCs w:val="20"/>
                <w:color w:val="auto"/>
              </w:rPr>
            </w:pPr>
            <w:r>
              <w:rPr>
                <w:rFonts w:ascii="Arial" w:cs="Arial" w:eastAsia="Arial" w:hAnsi="Arial"/>
                <w:sz w:val="14"/>
                <w:szCs w:val="14"/>
                <w:b w:val="1"/>
                <w:bCs w:val="1"/>
                <w:color w:val="auto"/>
              </w:rPr>
              <w:t>Useful Life</w:t>
            </w: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right"/>
              <w:ind w:right="12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12,392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11,373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1,019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13,540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12,622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111,354</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48,558</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62,796</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72,050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45,718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26,332</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00" w:type="dxa"/>
            <w:vAlign w:val="bottom"/>
          </w:tcPr>
          <w:p>
            <w:pPr>
              <w:jc w:val="center"/>
              <w:ind w:left="42"/>
              <w:spacing w:after="0"/>
              <w:rPr>
                <w:sz w:val="20"/>
                <w:szCs w:val="20"/>
                <w:color w:val="auto"/>
              </w:rPr>
            </w:pPr>
            <w:r>
              <w:rPr>
                <w:rFonts w:ascii="Arial" w:cs="Arial" w:eastAsia="Arial" w:hAnsi="Arial"/>
                <w:sz w:val="16"/>
                <w:szCs w:val="16"/>
                <w:b w:val="1"/>
                <w:bCs w:val="1"/>
                <w:color w:val="auto"/>
              </w:rPr>
              <w:t>3–5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12,190</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8,364</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3,826</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10,790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6,991</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26,863</w:t>
            </w:r>
          </w:p>
        </w:tc>
        <w:tc>
          <w:tcPr>
            <w:tcW w:w="240" w:type="dxa"/>
            <w:vAlign w:val="bottom"/>
          </w:tcPr>
          <w:p>
            <w:pPr>
              <w:spacing w:after="0"/>
              <w:rPr>
                <w:sz w:val="23"/>
                <w:szCs w:val="23"/>
                <w:color w:val="auto"/>
              </w:rPr>
            </w:pPr>
          </w:p>
        </w:tc>
        <w:tc>
          <w:tcPr>
            <w:tcW w:w="1140" w:type="dxa"/>
            <w:vAlign w:val="bottom"/>
          </w:tcPr>
          <w:p>
            <w:pPr>
              <w:jc w:val="right"/>
              <w:ind w:right="61"/>
              <w:spacing w:after="0"/>
              <w:rPr>
                <w:sz w:val="20"/>
                <w:szCs w:val="20"/>
                <w:color w:val="auto"/>
              </w:rPr>
            </w:pPr>
            <w:r>
              <w:rPr>
                <w:rFonts w:ascii="Arial" w:cs="Arial" w:eastAsia="Arial" w:hAnsi="Arial"/>
                <w:sz w:val="16"/>
                <w:szCs w:val="16"/>
                <w:b w:val="1"/>
                <w:bCs w:val="1"/>
                <w:color w:val="auto"/>
              </w:rPr>
              <w:t>17,956</w:t>
            </w:r>
          </w:p>
        </w:tc>
        <w:tc>
          <w:tcPr>
            <w:tcW w:w="220" w:type="dxa"/>
            <w:vAlign w:val="bottom"/>
          </w:tcPr>
          <w:p>
            <w:pPr>
              <w:spacing w:after="0"/>
              <w:rPr>
                <w:sz w:val="23"/>
                <w:szCs w:val="23"/>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b w:val="1"/>
                <w:bCs w:val="1"/>
                <w:color w:val="auto"/>
              </w:rPr>
              <w:t>8,907</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22,327</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16,052</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6,275</w:t>
            </w:r>
          </w:p>
        </w:tc>
        <w:tc>
          <w:tcPr>
            <w:tcW w:w="0" w:type="dxa"/>
            <w:vAlign w:val="bottom"/>
          </w:tcPr>
          <w:p>
            <w:pPr>
              <w:spacing w:after="0"/>
              <w:rPr>
                <w:sz w:val="1"/>
                <w:szCs w:val="1"/>
                <w:color w:val="auto"/>
              </w:rPr>
            </w:pPr>
          </w:p>
        </w:tc>
      </w:tr>
      <w:tr>
        <w:trPr>
          <w:trHeight w:val="283"/>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jc w:val="center"/>
              <w:ind w:left="22"/>
              <w:spacing w:after="0"/>
              <w:rPr>
                <w:sz w:val="20"/>
                <w:szCs w:val="20"/>
                <w:color w:val="auto"/>
              </w:rPr>
            </w:pPr>
            <w:r>
              <w:rPr>
                <w:rFonts w:ascii="Arial" w:cs="Arial" w:eastAsia="Arial" w:hAnsi="Arial"/>
                <w:sz w:val="16"/>
                <w:szCs w:val="16"/>
                <w:b w:val="1"/>
                <w:bCs w:val="1"/>
                <w:color w:val="auto"/>
              </w:rPr>
              <w:t>1–25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9,626</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7,943</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1,683</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9,836</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7,572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172,425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94,194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78,231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128,543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88,955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39,588</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00" w:type="dxa"/>
            <w:vAlign w:val="bottom"/>
            <w:vMerge w:val="continue"/>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Franchise agreements</w:t>
            </w:r>
          </w:p>
        </w:tc>
        <w:tc>
          <w:tcPr>
            <w:tcW w:w="15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496,321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496,321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Wireless licenses</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22,150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7,321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7,171</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100" w:type="dxa"/>
            <w:vAlign w:val="bottom"/>
          </w:tcPr>
          <w:p>
            <w:pPr>
              <w:ind w:left="180"/>
              <w:spacing w:after="0"/>
              <w:rPr>
                <w:sz w:val="20"/>
                <w:szCs w:val="20"/>
                <w:color w:val="auto"/>
              </w:rPr>
            </w:pPr>
            <w:r>
              <w:rPr>
                <w:rFonts w:ascii="Arial" w:cs="Arial" w:eastAsia="Arial" w:hAnsi="Arial"/>
                <w:sz w:val="16"/>
                <w:szCs w:val="16"/>
                <w:color w:val="auto"/>
              </w:rPr>
              <w:t>Other</w:t>
            </w:r>
          </w:p>
        </w:tc>
        <w:tc>
          <w:tcPr>
            <w:tcW w:w="1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68,567</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15,636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572,209</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541,278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337"/>
        </w:trPr>
        <w:tc>
          <w:tcPr>
            <w:tcW w:w="8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r>
      <w:tr>
        <w:trPr>
          <w:trHeight w:val="196"/>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2013</w:t>
            </w:r>
          </w:p>
        </w:tc>
      </w:tr>
      <w:tr>
        <w:trPr>
          <w:trHeight w:val="250"/>
        </w:trPr>
        <w:tc>
          <w:tcPr>
            <w:tcW w:w="858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398,204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397,893</w:t>
            </w:r>
          </w:p>
        </w:tc>
      </w:tr>
      <w:tr>
        <w:trPr>
          <w:trHeight w:val="270"/>
        </w:trPr>
        <w:tc>
          <w:tcPr>
            <w:tcW w:w="8580" w:type="dxa"/>
            <w:vAlign w:val="bottom"/>
          </w:tcPr>
          <w:p>
            <w:pPr>
              <w:ind w:left="40"/>
              <w:spacing w:after="0"/>
              <w:rPr>
                <w:sz w:val="20"/>
                <w:szCs w:val="20"/>
                <w:color w:val="auto"/>
              </w:rPr>
            </w:pPr>
            <w:r>
              <w:rPr>
                <w:rFonts w:ascii="Arial" w:cs="Arial" w:eastAsia="Arial" w:hAnsi="Arial"/>
                <w:sz w:val="16"/>
                <w:szCs w:val="16"/>
                <w:color w:val="auto"/>
              </w:rPr>
              <w:t>AUD Revolving credit borrowing</w:t>
            </w:r>
          </w:p>
        </w:tc>
        <w:tc>
          <w:tcPr>
            <w:tcW w:w="140" w:type="dxa"/>
            <w:vAlign w:val="bottom"/>
          </w:tcPr>
          <w:p>
            <w:pPr>
              <w:spacing w:after="0"/>
              <w:rPr>
                <w:sz w:val="23"/>
                <w:szCs w:val="23"/>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43,669</w:t>
            </w:r>
          </w:p>
        </w:tc>
        <w:tc>
          <w:tcPr>
            <w:tcW w:w="240" w:type="dxa"/>
            <w:vAlign w:val="bottom"/>
          </w:tcPr>
          <w:p>
            <w:pPr>
              <w:spacing w:after="0"/>
              <w:rPr>
                <w:sz w:val="23"/>
                <w:szCs w:val="23"/>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44,625</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6,885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8,258</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Pr>
          <w:p>
            <w:pPr>
              <w:spacing w:after="0"/>
              <w:rPr>
                <w:sz w:val="21"/>
                <w:szCs w:val="21"/>
                <w:color w:val="auto"/>
              </w:rPr>
            </w:pPr>
          </w:p>
        </w:tc>
        <w:tc>
          <w:tcPr>
            <w:tcW w:w="1260" w:type="dxa"/>
            <w:vAlign w:val="bottom"/>
          </w:tcPr>
          <w:p>
            <w:pPr>
              <w:jc w:val="right"/>
              <w:ind w:right="62"/>
              <w:spacing w:after="0"/>
              <w:rPr>
                <w:sz w:val="20"/>
                <w:szCs w:val="20"/>
                <w:color w:val="auto"/>
              </w:rPr>
            </w:pPr>
            <w:r>
              <w:rPr>
                <w:rFonts w:ascii="Arial" w:cs="Arial" w:eastAsia="Arial" w:hAnsi="Arial"/>
                <w:sz w:val="16"/>
                <w:szCs w:val="16"/>
                <w:b w:val="1"/>
                <w:bCs w:val="1"/>
                <w:color w:val="auto"/>
              </w:rPr>
              <w:t>448,758</w:t>
            </w:r>
          </w:p>
        </w:tc>
        <w:tc>
          <w:tcPr>
            <w:tcW w:w="24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450,776</w:t>
            </w:r>
          </w:p>
        </w:tc>
      </w:tr>
      <w:tr>
        <w:trPr>
          <w:trHeight w:val="283"/>
        </w:trPr>
        <w:tc>
          <w:tcPr>
            <w:tcW w:w="858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(50,460)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r>
      <w:tr>
        <w:trPr>
          <w:trHeight w:val="26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398,298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447,608</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4" w:right="239" w:bottom="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382" w:right="1440" w:bottom="1440" w:gutter="0" w:footer="0" w:header="0"/>
        </w:sectPr>
      </w:pPr>
    </w:p>
    <w:bookmarkStart w:id="13" w:name="page14"/>
    <w:bookmarkEnd w:id="13"/>
    <w:p>
      <w:pPr>
        <w:ind w:right="100"/>
        <w:spacing w:after="0" w:line="235" w:lineRule="auto"/>
        <w:rPr>
          <w:sz w:val="20"/>
          <w:szCs w:val="20"/>
          <w:color w:val="auto"/>
        </w:rPr>
      </w:pPr>
      <w:r>
        <w:rPr>
          <w:rFonts w:ascii="Arial" w:cs="Arial" w:eastAsia="Arial" w:hAnsi="Arial"/>
          <w:sz w:val="18"/>
          <w:szCs w:val="18"/>
          <w:color w:val="auto"/>
        </w:rPr>
        <w:t>The Company’s other indebtedness at September 30, 2014 and December 31, 2013 is at interest rates from 0% to 6% and matures from 2014 to 2017.</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During the three months ended September 30, 2014 and 2013, the Company had average borrowings outstanding of approximately $450.9 million and $449.8 million, respectively, at average annual interest rates of approximately 7.0%. During the three months ended September 30, 2014 and 2013, the Company incurred net interest expense of $8.8 million and $8.6 million, respectively.</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the nine months ended September 30, 2014 and 2013, the Company had average borrowings outstanding of approximately $451.4 million and $477.5 million, respectively, at average annual interest rates of approximately 7.0%. During the nine months ended September 30, 2014 and 2013, the Company incurred net interest expense of $24.9 million and $25.6 million, respectively.</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At September 30, 2014, the fair value of the Company’s 7.25% unsecured notes, based on quoted market prices, totaled $468.0 million, compared with the carrying amount of $398.2 million. At December 31, 2013, the fair value of the Company’s 7.25% unsecured notes, based on quoted market prices, totaled $475.2 million, compared with the carrying amount of $397.9 million. The carrying value of the Company’s other unsecured debt at September 30, 2014 approximates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rPr>
              <w:t>As of September 30, 2014</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287,714</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287,714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(2)</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127,270</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127,270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Commercial paper (3)</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49,965</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49,965</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(4)</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5,348</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24,255</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29,603</w:t>
            </w:r>
          </w:p>
        </w:tc>
        <w:tc>
          <w:tcPr>
            <w:tcW w:w="0" w:type="dxa"/>
            <w:vAlign w:val="bottom"/>
          </w:tcPr>
          <w:p>
            <w:pPr>
              <w:spacing w:after="0"/>
              <w:rPr>
                <w:sz w:val="1"/>
                <w:szCs w:val="1"/>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182,583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311,969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494,552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66,485</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66,485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(6)</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468,000</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468,000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AUD revolving credit borrowing (6)</w:t>
            </w:r>
          </w:p>
        </w:tc>
        <w:tc>
          <w:tcPr>
            <w:tcW w:w="220" w:type="dxa"/>
            <w:vAlign w:val="bottom"/>
          </w:tcPr>
          <w:p>
            <w:pPr>
              <w:spacing w:after="0"/>
              <w:rPr>
                <w:sz w:val="23"/>
                <w:szCs w:val="23"/>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43,669</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43,669</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rate swap (7)</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405</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405</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578,559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578,559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rPr>
              <w:t>As of December 31, 2013</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1">
            <w:col w:w="11420"/>
          </w:cols>
          <w:pgMar w:left="240" w:top="584" w:right="239" w:bottom="1440" w:gutter="0" w:footer="0" w:header="0"/>
        </w:sect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(4)</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compensation plan liabilities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(7)</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5"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4" w:lineRule="exact"/>
        <w:rPr>
          <w:rFonts w:ascii="Arial" w:cs="Arial" w:eastAsia="Arial" w:hAnsi="Arial"/>
          <w:sz w:val="14"/>
          <w:szCs w:val="14"/>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431,836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431,836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487,156</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487,156</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11,826</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23,336</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35,162</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498,982</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455,172</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954,154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08"/>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67,603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67,603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475,224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475,224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44,625</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44,625</w:t>
            </w:r>
          </w:p>
        </w:tc>
      </w:tr>
      <w:tr>
        <w:trPr>
          <w:trHeight w:val="28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1,047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1,047</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588,499</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588,499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31" w:lineRule="exact"/>
        <w:rPr>
          <w:sz w:val="20"/>
          <w:szCs w:val="20"/>
          <w:color w:val="auto"/>
        </w:rPr>
      </w:pPr>
    </w:p>
    <w:p>
      <w:pPr>
        <w:sectPr>
          <w:pgSz w:w="11900" w:h="16838" w:orient="portrait"/>
          <w:cols w:equalWidth="0" w:num="2">
            <w:col w:w="7060" w:space="720"/>
            <w:col w:w="3640"/>
          </w:cols>
          <w:pgMar w:left="240" w:top="584" w:right="239" w:bottom="1440" w:gutter="0" w:footer="0" w:header="0"/>
          <w:type w:val="continuous"/>
        </w:sectPr>
      </w:pPr>
    </w:p>
    <w:p>
      <w:pPr>
        <w:ind w:left="420" w:right="540" w:hanging="412"/>
        <w:spacing w:after="0" w:line="25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commercial paper investments with original maturities greater than 90 days, but less than one year, are included in investments in marketable equity securities and other investments.</w:t>
      </w: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with original maturities greater than 90 days, but less than one year.</w:t>
      </w:r>
    </w:p>
    <w:p>
      <w:pPr>
        <w:spacing w:after="0" w:line="14" w:lineRule="exact"/>
        <w:rPr>
          <w:rFonts w:ascii="Arial" w:cs="Arial" w:eastAsia="Arial" w:hAnsi="Arial"/>
          <w:sz w:val="14"/>
          <w:szCs w:val="14"/>
          <w:color w:val="auto"/>
        </w:rPr>
      </w:pPr>
    </w:p>
    <w:p>
      <w:pPr>
        <w:ind w:left="420" w:right="620" w:hanging="412"/>
        <w:spacing w:after="0" w:line="251"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w:t>
      </w:r>
    </w:p>
    <w:p>
      <w:pPr>
        <w:ind w:left="420" w:hanging="412"/>
        <w:spacing w:after="0"/>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w:t>
      </w:r>
    </w:p>
    <w:p>
      <w:pPr>
        <w:spacing w:after="0" w:line="14" w:lineRule="exact"/>
        <w:rPr>
          <w:rFonts w:ascii="Arial" w:cs="Arial" w:eastAsia="Arial" w:hAnsi="Arial"/>
          <w:sz w:val="14"/>
          <w:szCs w:val="14"/>
          <w:color w:val="auto"/>
        </w:rPr>
      </w:pPr>
    </w:p>
    <w:p>
      <w:pPr>
        <w:ind w:left="420" w:right="40" w:hanging="412"/>
        <w:spacing w:after="0" w:line="258"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48"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In the second quarter of 2014, the Company recorded an intangible asset impairment charge of $7.8 million, reported in discontinued operations (see Note 5). The remeasurement of the intangible assets is classified as a</w:t>
      </w:r>
    </w:p>
    <w:p>
      <w:pPr>
        <w:sectPr>
          <w:pgSz w:w="11900" w:h="16838" w:orient="portrait"/>
          <w:cols w:equalWidth="0" w:num="1">
            <w:col w:w="11420"/>
          </w:cols>
          <w:pgMar w:left="240" w:top="584" w:right="239" w:bottom="1440" w:gutter="0" w:footer="0" w:header="0"/>
          <w:type w:val="continuous"/>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584"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Level 3 fair value assessment due to the significance of unobservable inputs developed in the determination of the fair value.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acquired 1,620,190 of its Class B common stock owned by Berkshire Hathaway, as described in Note 4.</w:t>
      </w:r>
    </w:p>
    <w:p>
      <w:pPr>
        <w:spacing w:after="0" w:line="144"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632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32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w:t>
            </w: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162"/>
              <w:spacing w:after="0"/>
              <w:rPr>
                <w:sz w:val="20"/>
                <w:szCs w:val="20"/>
                <w:color w:val="auto"/>
              </w:rPr>
            </w:pPr>
            <w:r>
              <w:rPr>
                <w:rFonts w:ascii="Arial" w:cs="Arial" w:eastAsia="Arial" w:hAnsi="Arial"/>
                <w:sz w:val="16"/>
                <w:szCs w:val="16"/>
                <w:b w:val="1"/>
                <w:bCs w:val="1"/>
                <w:color w:val="auto"/>
              </w:rPr>
              <w:t>83,331</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588,645</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320" w:type="dxa"/>
            <w:vAlign w:val="bottom"/>
          </w:tcPr>
          <w:p>
            <w:pPr>
              <w:ind w:left="440"/>
              <w:spacing w:after="0"/>
              <w:rPr>
                <w:sz w:val="20"/>
                <w:szCs w:val="20"/>
                <w:color w:val="auto"/>
              </w:rPr>
            </w:pPr>
            <w:r>
              <w:rPr>
                <w:rFonts w:ascii="Arial" w:cs="Arial" w:eastAsia="Arial" w:hAnsi="Arial"/>
                <w:sz w:val="16"/>
                <w:szCs w:val="16"/>
                <w:color w:val="auto"/>
              </w:rPr>
              <w:t>common stockholders</w:t>
            </w: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54,132</w:t>
            </w:r>
          </w:p>
        </w:tc>
        <w:tc>
          <w:tcPr>
            <w:tcW w:w="3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121,857</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(14,773)</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(67,267)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32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60" w:type="dxa"/>
            <w:vAlign w:val="bottom"/>
          </w:tcPr>
          <w:p>
            <w:pPr>
              <w:jc w:val="right"/>
              <w:ind w:right="162"/>
              <w:spacing w:after="0"/>
              <w:rPr>
                <w:sz w:val="20"/>
                <w:szCs w:val="20"/>
                <w:color w:val="auto"/>
              </w:rPr>
            </w:pPr>
            <w:r>
              <w:rPr>
                <w:rFonts w:ascii="Arial" w:cs="Arial" w:eastAsia="Arial" w:hAnsi="Arial"/>
                <w:sz w:val="16"/>
                <w:szCs w:val="16"/>
                <w:b w:val="1"/>
                <w:bCs w:val="1"/>
                <w:color w:val="auto"/>
              </w:rPr>
              <w:t>68,558</w:t>
            </w:r>
          </w:p>
        </w:tc>
        <w:tc>
          <w:tcPr>
            <w:tcW w:w="32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54,132</w:t>
            </w:r>
          </w:p>
        </w:tc>
        <w:tc>
          <w:tcPr>
            <w:tcW w:w="320" w:type="dxa"/>
            <w:vAlign w:val="bottom"/>
          </w:tcPr>
          <w:p>
            <w:pPr>
              <w:spacing w:after="0"/>
              <w:rPr>
                <w:sz w:val="21"/>
                <w:szCs w:val="21"/>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521,378</w:t>
            </w:r>
          </w:p>
        </w:tc>
        <w:tc>
          <w:tcPr>
            <w:tcW w:w="3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121,857</w:t>
            </w:r>
          </w:p>
        </w:tc>
        <w:tc>
          <w:tcPr>
            <w:tcW w:w="0" w:type="dxa"/>
            <w:vAlign w:val="bottom"/>
          </w:tcPr>
          <w:p>
            <w:pPr>
              <w:spacing w:after="0"/>
              <w:rPr>
                <w:sz w:val="1"/>
                <w:szCs w:val="1"/>
                <w:color w:val="auto"/>
              </w:rPr>
            </w:pPr>
          </w:p>
        </w:tc>
      </w:tr>
      <w:tr>
        <w:trPr>
          <w:trHeight w:val="283"/>
        </w:trPr>
        <w:tc>
          <w:tcPr>
            <w:tcW w:w="632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97.89%</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97.42%</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97.89%</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97.42%</w:t>
            </w:r>
          </w:p>
        </w:tc>
        <w:tc>
          <w:tcPr>
            <w:tcW w:w="0" w:type="dxa"/>
            <w:vAlign w:val="bottom"/>
          </w:tcPr>
          <w:p>
            <w:pPr>
              <w:spacing w:after="0"/>
              <w:rPr>
                <w:sz w:val="1"/>
                <w:szCs w:val="1"/>
                <w:color w:val="auto"/>
              </w:rPr>
            </w:pPr>
          </w:p>
        </w:tc>
      </w:tr>
      <w:tr>
        <w:trPr>
          <w:trHeight w:val="251"/>
        </w:trPr>
        <w:tc>
          <w:tcPr>
            <w:tcW w:w="6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62"/>
              <w:spacing w:after="0"/>
              <w:rPr>
                <w:sz w:val="20"/>
                <w:szCs w:val="20"/>
                <w:color w:val="auto"/>
              </w:rPr>
            </w:pPr>
            <w:r>
              <w:rPr>
                <w:rFonts w:ascii="Arial" w:cs="Arial" w:eastAsia="Arial" w:hAnsi="Arial"/>
                <w:sz w:val="16"/>
                <w:szCs w:val="16"/>
                <w:b w:val="1"/>
                <w:bCs w:val="1"/>
                <w:color w:val="auto"/>
              </w:rPr>
              <w:t>67,112</w:t>
            </w:r>
          </w:p>
        </w:tc>
        <w:tc>
          <w:tcPr>
            <w:tcW w:w="32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52,736</w:t>
            </w:r>
          </w:p>
        </w:tc>
        <w:tc>
          <w:tcPr>
            <w:tcW w:w="320" w:type="dxa"/>
            <w:vAlign w:val="bottom"/>
          </w:tcPr>
          <w:p>
            <w:pPr>
              <w:spacing w:after="0"/>
              <w:rPr>
                <w:sz w:val="21"/>
                <w:szCs w:val="21"/>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b w:val="1"/>
                <w:bCs w:val="1"/>
                <w:color w:val="auto"/>
              </w:rPr>
              <w:t>510,384</w:t>
            </w:r>
          </w:p>
        </w:tc>
        <w:tc>
          <w:tcPr>
            <w:tcW w:w="340" w:type="dxa"/>
            <w:vAlign w:val="bottom"/>
          </w:tcPr>
          <w:p>
            <w:pPr>
              <w:spacing w:after="0"/>
              <w:rPr>
                <w:sz w:val="21"/>
                <w:szCs w:val="21"/>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118,714</w:t>
            </w: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1">
            <w:col w:w="11420"/>
          </w:cols>
          <w:pgMar w:left="240" w:top="611" w:right="239" w:bottom="1440" w:gutter="0" w:footer="0" w:header="0"/>
        </w:sectPr>
      </w:pPr>
    </w:p>
    <w:p>
      <w:pPr>
        <w:spacing w:after="0" w:line="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Dividends-common stock outstanding</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Numerator for basic earnings per share</w:t>
      </w:r>
    </w:p>
    <w:p>
      <w:pPr>
        <w:spacing w:after="0" w:line="113" w:lineRule="exact"/>
        <w:rPr>
          <w:sz w:val="20"/>
          <w:szCs w:val="20"/>
          <w:color w:val="auto"/>
        </w:rPr>
      </w:pPr>
    </w:p>
    <w:p>
      <w:pPr>
        <w:ind w:left="180" w:right="560" w:firstLine="108"/>
        <w:spacing w:after="0" w:line="387" w:lineRule="auto"/>
        <w:rPr>
          <w:sz w:val="20"/>
          <w:szCs w:val="20"/>
          <w:color w:val="auto"/>
        </w:rPr>
      </w:pPr>
      <w:r>
        <w:rPr>
          <w:rFonts w:ascii="Arial" w:cs="Arial" w:eastAsia="Arial" w:hAnsi="Arial"/>
          <w:sz w:val="16"/>
          <w:szCs w:val="16"/>
          <w:color w:val="auto"/>
        </w:rPr>
        <w:t>Add: Additional undistributed earnings due to dilutive stock options Numerator for diluted earnings per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Denominator: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basic earnings per share: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Weighted average shares outstanding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 Effect of dilutive stock options</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Denominator for diluted earnings per share</w:t>
      </w:r>
    </w:p>
    <w:p>
      <w:pPr>
        <w:spacing w:after="0" w:line="93" w:lineRule="exact"/>
        <w:rPr>
          <w:sz w:val="20"/>
          <w:szCs w:val="20"/>
          <w:color w:val="auto"/>
        </w:rPr>
      </w:pPr>
    </w:p>
    <w:p>
      <w:pPr>
        <w:ind w:left="180" w:right="1240" w:hanging="134"/>
        <w:spacing w:after="0" w:line="407" w:lineRule="auto"/>
        <w:rPr>
          <w:sz w:val="20"/>
          <w:szCs w:val="20"/>
          <w:color w:val="auto"/>
        </w:rPr>
      </w:pPr>
      <w:r>
        <w:rPr>
          <w:rFonts w:ascii="Arial" w:cs="Arial" w:eastAsia="Arial" w:hAnsi="Arial"/>
          <w:sz w:val="16"/>
          <w:szCs w:val="16"/>
          <w:b w:val="1"/>
          <w:bCs w:val="1"/>
          <w:color w:val="auto"/>
        </w:rPr>
        <w:t>Graham Holdings Company Common Stockholders: Basic earnings per share from continuing operations Diluted earnings per share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14,462</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66,021</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81,574</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52,736</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576,405</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118,714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w:t>
            </w: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48</w:t>
            </w: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r>
      <w:tr>
        <w:trPr>
          <w:trHeight w:val="264"/>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81,580</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52,739</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576,453</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118,718</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8"/>
        </w:trPr>
        <w:tc>
          <w:tcPr>
            <w:tcW w:w="32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5,671</w:t>
            </w:r>
          </w:p>
        </w:tc>
        <w:tc>
          <w:tcPr>
            <w:tcW w:w="44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7,231</w:t>
            </w:r>
          </w:p>
        </w:tc>
        <w:tc>
          <w:tcPr>
            <w:tcW w:w="40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6,737</w:t>
            </w:r>
          </w:p>
        </w:tc>
        <w:tc>
          <w:tcPr>
            <w:tcW w:w="42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7,229</w:t>
            </w:r>
          </w:p>
        </w:tc>
      </w:tr>
      <w:tr>
        <w:trPr>
          <w:trHeight w:val="283"/>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w:t>
            </w:r>
          </w:p>
        </w:tc>
      </w:tr>
      <w:tr>
        <w:trPr>
          <w:trHeight w:val="264"/>
        </w:trPr>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5,696</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7,246</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6,762</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7,237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14.38</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7.29</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85.55</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16.42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14.32</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7.28</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85.24</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16.41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5600" w:space="720"/>
            <w:col w:w="5100"/>
          </w:cols>
          <w:pgMar w:left="240" w:top="611" w:right="239" w:bottom="1440" w:gutter="0" w:footer="0" w:header="0"/>
          <w:type w:val="continuous"/>
        </w:sect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r>
      <w:tr>
        <w:trPr>
          <w:trHeight w:val="196"/>
        </w:trPr>
        <w:tc>
          <w:tcPr>
            <w:tcW w:w="6860" w:type="dxa"/>
            <w:vAlign w:val="bottom"/>
          </w:tcPr>
          <w:p>
            <w:pPr>
              <w:spacing w:after="0"/>
              <w:rPr>
                <w:sz w:val="17"/>
                <w:szCs w:val="17"/>
                <w:color w:val="auto"/>
              </w:rPr>
            </w:pPr>
          </w:p>
        </w:tc>
        <w:tc>
          <w:tcPr>
            <w:tcW w:w="18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r>
      <w:tr>
        <w:trPr>
          <w:trHeight w:val="264"/>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auto"/>
            </w:tcBorders>
          </w:tcPr>
          <w:p>
            <w:pPr>
              <w:spacing w:after="0"/>
              <w:rPr>
                <w:sz w:val="22"/>
                <w:szCs w:val="22"/>
                <w:color w:val="auto"/>
              </w:rPr>
            </w:pPr>
          </w:p>
        </w:tc>
      </w:tr>
      <w:tr>
        <w:trPr>
          <w:trHeight w:val="250"/>
        </w:trPr>
        <w:tc>
          <w:tcPr>
            <w:tcW w:w="686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720" w:type="dxa"/>
            <w:vAlign w:val="bottom"/>
          </w:tcPr>
          <w:p>
            <w:pPr>
              <w:spacing w:after="0"/>
              <w:rPr>
                <w:sz w:val="21"/>
                <w:szCs w:val="21"/>
                <w:color w:val="auto"/>
              </w:rPr>
            </w:pPr>
          </w:p>
        </w:tc>
        <w:tc>
          <w:tcPr>
            <w:tcW w:w="1160" w:type="dxa"/>
            <w:vAlign w:val="bottom"/>
          </w:tcPr>
          <w:p>
            <w:pPr>
              <w:jc w:val="right"/>
              <w:ind w:right="883"/>
              <w:spacing w:after="0"/>
              <w:rPr>
                <w:sz w:val="20"/>
                <w:szCs w:val="20"/>
                <w:color w:val="auto"/>
              </w:rPr>
            </w:pPr>
            <w:r>
              <w:rPr>
                <w:rFonts w:ascii="Arial" w:cs="Arial" w:eastAsia="Arial" w:hAnsi="Arial"/>
                <w:sz w:val="16"/>
                <w:szCs w:val="16"/>
                <w:b w:val="1"/>
                <w:bCs w:val="1"/>
                <w:color w:val="auto"/>
              </w:rPr>
              <w:t>61</w:t>
            </w:r>
          </w:p>
        </w:tc>
        <w:tc>
          <w:tcPr>
            <w:tcW w:w="1100" w:type="dxa"/>
            <w:vAlign w:val="bottom"/>
          </w:tcPr>
          <w:p>
            <w:pPr>
              <w:jc w:val="right"/>
              <w:ind w:right="825"/>
              <w:spacing w:after="0"/>
              <w:rPr>
                <w:sz w:val="20"/>
                <w:szCs w:val="20"/>
                <w:color w:val="auto"/>
              </w:rPr>
            </w:pPr>
            <w:r>
              <w:rPr>
                <w:rFonts w:ascii="Arial" w:cs="Arial" w:eastAsia="Arial" w:hAnsi="Arial"/>
                <w:sz w:val="16"/>
                <w:szCs w:val="16"/>
                <w:color w:val="auto"/>
              </w:rPr>
              <w:t>91</w:t>
            </w:r>
          </w:p>
        </w:tc>
        <w:tc>
          <w:tcPr>
            <w:tcW w:w="1240" w:type="dxa"/>
            <w:vAlign w:val="bottom"/>
          </w:tcPr>
          <w:p>
            <w:pPr>
              <w:jc w:val="right"/>
              <w:ind w:right="945"/>
              <w:spacing w:after="0"/>
              <w:rPr>
                <w:sz w:val="20"/>
                <w:szCs w:val="20"/>
                <w:color w:val="auto"/>
              </w:rPr>
            </w:pPr>
            <w:r>
              <w:rPr>
                <w:rFonts w:ascii="Arial" w:cs="Arial" w:eastAsia="Arial" w:hAnsi="Arial"/>
                <w:sz w:val="16"/>
                <w:szCs w:val="16"/>
                <w:b w:val="1"/>
                <w:bCs w:val="1"/>
                <w:color w:val="auto"/>
              </w:rPr>
              <w:t>61</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79</w:t>
            </w:r>
          </w:p>
        </w:tc>
      </w:tr>
    </w:tbl>
    <w:p>
      <w:pPr>
        <w:spacing w:after="0" w:line="167"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diluted earnings per share amounts for the three and nine months ended September 30, 2014 exclude the effects of 5,000 stock options outstanding as their inclusion would have been antidilutive. The diluted earnings per share amounts for the three and nine months ended September 30, 2013 exclude the effects of 13,000 and 63,000 stock options outstanding, respectively, as their inclusion would have been antidilutive. The diluted earnings per share amounts for the three and nine months ended September 30, 2014 exclude the effects of 6,075 restricted stock awards as their inclusion would have been antidilutive. The diluted earnings per share amounts for the three and nine months ended September 30, 2013 exclude the effects of 8,800 restricted stock awards, as their inclusion would have been antidilutive.</w:t>
      </w:r>
    </w:p>
    <w:p>
      <w:pPr>
        <w:spacing w:after="0" w:line="137"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the three and nine months ended September 30, 2014, the Company declared regular dividends totaling $2.55 and $10.20 per share, respectively. No dividends were paid in 2013.</w:t>
      </w:r>
    </w:p>
    <w:p>
      <w:pPr>
        <w:sectPr>
          <w:pgSz w:w="11900" w:h="16838" w:orient="portrait"/>
          <w:cols w:equalWidth="0" w:num="1">
            <w:col w:w="11420"/>
          </w:cols>
          <w:pgMar w:left="240" w:top="611" w:right="239"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611"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44"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cost arising from the Company’s defined benefit pension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6,976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12,713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21,489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38,788</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12,894</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14,242</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38,870</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42,776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(29,877)</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(26,817)</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(90,644)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(78,606)</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83</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908</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247</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2,726</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 loss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(7,280)</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1,797</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(21,599)</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5,741</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18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(17,204)</w:t>
            </w:r>
          </w:p>
        </w:tc>
        <w:tc>
          <w:tcPr>
            <w:tcW w:w="400" w:type="dxa"/>
            <w:vAlign w:val="bottom"/>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2,843</w:t>
            </w:r>
          </w:p>
        </w:tc>
        <w:tc>
          <w:tcPr>
            <w:tcW w:w="260" w:type="dxa"/>
            <w:vAlign w:val="bottom"/>
          </w:tcPr>
          <w:p>
            <w:pPr>
              <w:spacing w:after="0"/>
              <w:rPr>
                <w:sz w:val="21"/>
                <w:szCs w:val="21"/>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(51,637)</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11,425</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Early retirement programs expense</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3,884</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8,374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22,700</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(Benefit)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(13,320)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(43,263)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34,125</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For the nine months ended September 30, 2014, the net periodic benefit for the Company's pension plans, as reported above, includes costs of $0.2 million reported in discontinued operations. For the three and nine months ended September 30, 2013, the net periodic cost for the Company's pension plans, as reported above, includes costs of $5.5 million and $19.4 million, respectively, reported in discontinued operations.</w:t>
      </w:r>
    </w:p>
    <w:p>
      <w:pPr>
        <w:spacing w:after="0" w:line="13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the first quarter of 2014, the Company recorded $4.5 million related to a Separation Incentive Program for certain Corporate employees, which will be funded from the assets of the Company's pension plan. In the third quarter of 2014, the Company recorded $3.9 million related to a Voluntary Retirement Incentive Program (VRIP) for certain Corporate employees, which will be funded from the assets of the Company's pension plan.</w:t>
      </w:r>
    </w:p>
    <w:p>
      <w:pPr>
        <w:spacing w:after="0" w:line="13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announced a VRIP in February 2013, which was offered to certain employees of the Washington Post newspaper. The total early retirement program expense for this program for the nine months ended September 30, 2013 was $20.4 million. In addition, the Washington Post newspaper recorded $2.3 million in special separation benefits for a group of employees in the first quarter of 2013. The early retirement program expense and special separation benefits for these programs were funded from the assets of the Company’s pension plan and are included in discontinued operations, net of tax.</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The total cost arising from the Company’s Supplemental Executive Retirement Plan (SERP), including a portion included in discontinued operations, consists of the following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55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373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429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1,119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1,288</w:t>
            </w:r>
          </w:p>
        </w:tc>
      </w:tr>
      <w:tr>
        <w:trPr>
          <w:trHeight w:val="270"/>
        </w:trPr>
        <w:tc>
          <w:tcPr>
            <w:tcW w:w="55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1,086</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1,023</w:t>
            </w:r>
          </w:p>
        </w:tc>
        <w:tc>
          <w:tcPr>
            <w:tcW w:w="26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3,257</w:t>
            </w:r>
          </w:p>
        </w:tc>
        <w:tc>
          <w:tcPr>
            <w:tcW w:w="4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3,069</w:t>
            </w:r>
          </w:p>
        </w:tc>
      </w:tr>
      <w:tr>
        <w:trPr>
          <w:trHeight w:val="270"/>
        </w:trPr>
        <w:tc>
          <w:tcPr>
            <w:tcW w:w="55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160" w:type="dxa"/>
            <w:vAlign w:val="bottom"/>
          </w:tcPr>
          <w:p>
            <w:pPr>
              <w:spacing w:after="0"/>
              <w:rPr>
                <w:sz w:val="23"/>
                <w:szCs w:val="23"/>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12</w:t>
            </w:r>
          </w:p>
        </w:tc>
        <w:tc>
          <w:tcPr>
            <w:tcW w:w="4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35</w:t>
            </w:r>
          </w:p>
        </w:tc>
        <w:tc>
          <w:tcPr>
            <w:tcW w:w="40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w:t>
            </w:r>
          </w:p>
        </w:tc>
      </w:tr>
      <w:tr>
        <w:trPr>
          <w:trHeight w:val="283"/>
        </w:trPr>
        <w:tc>
          <w:tcPr>
            <w:tcW w:w="550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374</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1,124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2,133</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Net Periodic Cost</w:t>
            </w:r>
          </w:p>
        </w:tc>
        <w:tc>
          <w:tcPr>
            <w:tcW w:w="16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1,845</w:t>
            </w:r>
          </w:p>
        </w:tc>
        <w:tc>
          <w:tcPr>
            <w:tcW w:w="4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2,177</w:t>
            </w:r>
          </w:p>
        </w:tc>
        <w:tc>
          <w:tcPr>
            <w:tcW w:w="260" w:type="dxa"/>
            <w:vAlign w:val="bottom"/>
          </w:tcPr>
          <w:p>
            <w:pPr>
              <w:spacing w:after="0"/>
              <w:rPr>
                <w:sz w:val="21"/>
                <w:szCs w:val="21"/>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b w:val="1"/>
                <w:bCs w:val="1"/>
                <w:color w:val="auto"/>
              </w:rPr>
              <w:t>5,535</w:t>
            </w:r>
          </w:p>
        </w:tc>
        <w:tc>
          <w:tcPr>
            <w:tcW w:w="40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6,531</w:t>
            </w:r>
          </w:p>
        </w:tc>
      </w:tr>
      <w:tr>
        <w:trPr>
          <w:trHeight w:val="283"/>
        </w:trPr>
        <w:tc>
          <w:tcPr>
            <w:tcW w:w="5500" w:type="dxa"/>
            <w:vAlign w:val="bottom"/>
          </w:tcPr>
          <w:p>
            <w:pPr>
              <w:ind w:left="40"/>
              <w:spacing w:after="0"/>
              <w:rPr>
                <w:sz w:val="20"/>
                <w:szCs w:val="20"/>
                <w:color w:val="auto"/>
              </w:rPr>
            </w:pPr>
            <w:r>
              <w:rPr>
                <w:rFonts w:ascii="Arial" w:cs="Arial" w:eastAsia="Arial" w:hAnsi="Arial"/>
                <w:sz w:val="16"/>
                <w:szCs w:val="16"/>
                <w:color w:val="auto"/>
              </w:rPr>
              <w:t>Early retirement programs expense</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2,422</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2,422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67"/>
        </w:trPr>
        <w:tc>
          <w:tcPr>
            <w:tcW w:w="5500" w:type="dxa"/>
            <w:vAlign w:val="bottom"/>
          </w:tcPr>
          <w:p>
            <w:pPr>
              <w:ind w:left="40"/>
              <w:spacing w:after="0"/>
              <w:rPr>
                <w:sz w:val="20"/>
                <w:szCs w:val="20"/>
                <w:color w:val="auto"/>
              </w:rPr>
            </w:pPr>
            <w:r>
              <w:rPr>
                <w:rFonts w:ascii="Arial" w:cs="Arial" w:eastAsia="Arial" w:hAnsi="Arial"/>
                <w:sz w:val="16"/>
                <w:szCs w:val="16"/>
                <w:b w:val="1"/>
                <w:bCs w:val="1"/>
                <w:color w:val="auto"/>
              </w:rPr>
              <w:t>Total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4,267</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7,957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6,531</w:t>
            </w: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For the nine months ended September 30, 2014, the net periodic cost for the Company's SERP, as reported above, includes costs of $0.2 million reported in discontinued operations. For the three and nine months ended September 30, 2013, the net periodic cost for the Company's SERP, as reported above, includes costs of $0.3 million and $0.9 million, respectively, reported in discontinued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2014, the Company recorded a $2.4 million SERP charge related to the VRIP for certain Corporate employees.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62" w:right="239" w:bottom="1440" w:gutter="0" w:footer="0" w:header="0"/>
        </w:sectPr>
      </w:pPr>
    </w:p>
    <w:bookmarkStart w:id="16" w:name="page17"/>
    <w:bookmarkEnd w:id="16"/>
    <w:p>
      <w:pPr>
        <w:jc w:val="both"/>
        <w:ind w:right="4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20" w:type="dxa"/>
            <w:vAlign w:val="bottom"/>
            <w:tcBorders>
              <w:bottom w:val="single" w:sz="8" w:color="auto"/>
            </w:tcBorders>
          </w:tcPr>
          <w:p>
            <w:pPr>
              <w:spacing w:after="0"/>
              <w:rPr>
                <w:sz w:val="17"/>
                <w:szCs w:val="17"/>
                <w:color w:val="auto"/>
              </w:rPr>
            </w:pPr>
          </w:p>
        </w:tc>
      </w:tr>
      <w:tr>
        <w:trPr>
          <w:trHeight w:val="337"/>
        </w:trPr>
        <w:tc>
          <w:tcPr>
            <w:tcW w:w="8480" w:type="dxa"/>
            <w:vAlign w:val="bottom"/>
          </w:tcPr>
          <w:p>
            <w:pPr>
              <w:spacing w:after="0"/>
              <w:rPr>
                <w:sz w:val="24"/>
                <w:szCs w:val="24"/>
                <w:color w:val="auto"/>
              </w:rPr>
            </w:pPr>
          </w:p>
        </w:tc>
        <w:tc>
          <w:tcPr>
            <w:tcW w:w="1720" w:type="dxa"/>
            <w:vAlign w:val="bottom"/>
          </w:tcPr>
          <w:p>
            <w:pPr>
              <w:jc w:val="right"/>
              <w:ind w:right="463"/>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right"/>
              <w:ind w:right="202"/>
              <w:spacing w:after="0"/>
              <w:rPr>
                <w:sz w:val="20"/>
                <w:szCs w:val="20"/>
                <w:color w:val="auto"/>
              </w:rPr>
            </w:pPr>
            <w:r>
              <w:rPr>
                <w:rFonts w:ascii="Arial" w:cs="Arial" w:eastAsia="Arial" w:hAnsi="Arial"/>
                <w:sz w:val="14"/>
                <w:szCs w:val="14"/>
                <w:color w:val="auto"/>
              </w:rPr>
              <w:t>December 31,</w:t>
            </w:r>
          </w:p>
        </w:tc>
      </w:tr>
      <w:tr>
        <w:trPr>
          <w:trHeight w:val="196"/>
        </w:trPr>
        <w:tc>
          <w:tcPr>
            <w:tcW w:w="84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83"/>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2013</w:t>
            </w:r>
          </w:p>
        </w:tc>
      </w:tr>
      <w:tr>
        <w:trPr>
          <w:trHeight w:val="250"/>
        </w:trPr>
        <w:tc>
          <w:tcPr>
            <w:tcW w:w="848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60%</w:t>
            </w: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848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720" w:type="dxa"/>
            <w:vAlign w:val="bottom"/>
          </w:tcPr>
          <w:p>
            <w:pPr>
              <w:jc w:val="right"/>
              <w:ind w:right="263"/>
              <w:spacing w:after="0"/>
              <w:rPr>
                <w:sz w:val="20"/>
                <w:szCs w:val="20"/>
                <w:color w:val="auto"/>
              </w:rPr>
            </w:pPr>
            <w:r>
              <w:rPr>
                <w:rFonts w:ascii="Arial" w:cs="Arial" w:eastAsia="Arial" w:hAnsi="Arial"/>
                <w:sz w:val="16"/>
                <w:szCs w:val="16"/>
                <w:b w:val="1"/>
                <w:bCs w:val="1"/>
                <w:color w:val="auto"/>
              </w:rPr>
              <w:t>11%</w:t>
            </w: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3"/>
        </w:trPr>
        <w:tc>
          <w:tcPr>
            <w:tcW w:w="848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29%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64"/>
        </w:trPr>
        <w:tc>
          <w:tcPr>
            <w:tcW w:w="8480" w:type="dxa"/>
            <w:vAlign w:val="bottom"/>
          </w:tcPr>
          <w:p>
            <w:pPr>
              <w:spacing w:after="0"/>
              <w:rPr>
                <w:sz w:val="22"/>
                <w:szCs w:val="22"/>
                <w:color w:val="auto"/>
              </w:rPr>
            </w:pPr>
          </w:p>
        </w:tc>
        <w:tc>
          <w:tcPr>
            <w:tcW w:w="17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8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September 30, 2014,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36"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September 30, 2014. Types of concentrations that were evaluated include, but are not limited to, investment concentrations in a single entity, type of industry, foreign country and individual fund. At September 30, 2014, the pension plan held common stock in two investments that exceeded 10% of total plan assets. At December 31, 2013, the pension plan held common stock in one investment that exceeded 10% of total plan assets. These investments were valued at $669.5 million and $ 590.6 million at September 30, 2014 and December 31, 2013, respectively, or approximately 29% and 25%, respectively, of total plan assets. At September 30, 2014 and December 31, 2013, the pension plan held investments in one foreign country that exceeded 10% of total plan assets. These investments were valued at $434.3 million and $398.9 million at September 30, 2014 and December 31, 2013, respectively, or approximately 19% and 17%, respectively, of total plan assets.</w:t>
      </w:r>
    </w:p>
    <w:p>
      <w:pPr>
        <w:spacing w:after="0" w:line="11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(benefit) arising from the Company’s other postretirement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2013</w:t>
            </w: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375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728</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1,125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2,183</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23"/>
                <w:szCs w:val="23"/>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362</w:t>
            </w:r>
          </w:p>
        </w:tc>
        <w:tc>
          <w:tcPr>
            <w:tcW w:w="40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508</w:t>
            </w:r>
          </w:p>
        </w:tc>
        <w:tc>
          <w:tcPr>
            <w:tcW w:w="260" w:type="dxa"/>
            <w:vAlign w:val="bottom"/>
          </w:tcPr>
          <w:p>
            <w:pPr>
              <w:spacing w:after="0"/>
              <w:rPr>
                <w:sz w:val="23"/>
                <w:szCs w:val="23"/>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1,086</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1,525</w:t>
            </w:r>
          </w:p>
        </w:tc>
      </w:tr>
      <w:tr>
        <w:trPr>
          <w:trHeight w:val="270"/>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3"/>
                <w:szCs w:val="23"/>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(196)</w:t>
            </w:r>
          </w:p>
        </w:tc>
        <w:tc>
          <w:tcPr>
            <w:tcW w:w="40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(1,306)</w:t>
            </w:r>
          </w:p>
        </w:tc>
        <w:tc>
          <w:tcPr>
            <w:tcW w:w="260" w:type="dxa"/>
            <w:vAlign w:val="bottom"/>
          </w:tcPr>
          <w:p>
            <w:pPr>
              <w:spacing w:after="0"/>
              <w:rPr>
                <w:sz w:val="23"/>
                <w:szCs w:val="23"/>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b w:val="1"/>
                <w:bCs w:val="1"/>
                <w:color w:val="auto"/>
              </w:rPr>
              <w:t>(587)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(3,972)</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(519)</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(1,557)</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w:t>
            </w:r>
          </w:p>
        </w:tc>
      </w:tr>
      <w:tr>
        <w:trPr>
          <w:trHeight w:val="25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Periodic Cost (Benefit)</w:t>
            </w:r>
          </w:p>
        </w:tc>
        <w:tc>
          <w:tcPr>
            <w:tcW w:w="180" w:type="dxa"/>
            <w:vAlign w:val="bottom"/>
          </w:tcPr>
          <w:p>
            <w:pPr>
              <w:spacing w:after="0"/>
              <w:rPr>
                <w:sz w:val="21"/>
                <w:szCs w:val="21"/>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b w:val="1"/>
                <w:bCs w:val="1"/>
                <w:color w:val="auto"/>
              </w:rPr>
              <w:t>22</w:t>
            </w:r>
          </w:p>
        </w:tc>
        <w:tc>
          <w:tcPr>
            <w:tcW w:w="40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(574)</w:t>
            </w:r>
          </w:p>
        </w:tc>
        <w:tc>
          <w:tcPr>
            <w:tcW w:w="260" w:type="dxa"/>
            <w:vAlign w:val="bottom"/>
          </w:tcPr>
          <w:p>
            <w:pPr>
              <w:spacing w:after="0"/>
              <w:rPr>
                <w:sz w:val="21"/>
                <w:szCs w:val="21"/>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b w:val="1"/>
                <w:bCs w:val="1"/>
                <w:color w:val="auto"/>
              </w:rPr>
              <w:t>67</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(1,813)</w:t>
            </w:r>
          </w:p>
        </w:tc>
      </w:tr>
      <w:tr>
        <w:trPr>
          <w:trHeight w:val="283"/>
        </w:trPr>
        <w:tc>
          <w:tcPr>
            <w:tcW w:w="5620" w:type="dxa"/>
            <w:vAlign w:val="bottom"/>
          </w:tcPr>
          <w:p>
            <w:pPr>
              <w:ind w:left="40"/>
              <w:spacing w:after="0"/>
              <w:rPr>
                <w:sz w:val="20"/>
                <w:szCs w:val="20"/>
                <w:color w:val="auto"/>
              </w:rPr>
            </w:pPr>
            <w:r>
              <w:rPr>
                <w:rFonts w:ascii="Arial" w:cs="Arial" w:eastAsia="Arial" w:hAnsi="Arial"/>
                <w:sz w:val="16"/>
                <w:szCs w:val="16"/>
                <w:color w:val="auto"/>
              </w:rPr>
              <w:t>Settlement gain</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r>
      <w:tr>
        <w:trPr>
          <w:trHeight w:val="26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Cost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(5,284)</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For the three and nine months ended September 30, 2013, the net periodic benefit, as reported above, includes a benefit of $1.5 million and $2.9 million, respectively, included in discontinued operations. As part of the sale of The Herald, changes were made with respect to its postretirement medical plan, resulting in a $3.5 million settlement gain that is included in discontinued operations, net of tax, for the first quarter of 2013.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6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2014</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5"/>
              </w:rPr>
              <w:t>2013</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2013</w:t>
            </w:r>
          </w:p>
        </w:tc>
      </w:tr>
      <w:tr>
        <w:trPr>
          <w:trHeight w:val="250"/>
        </w:trPr>
        <w:tc>
          <w:tcPr>
            <w:tcW w:w="6060" w:type="dxa"/>
            <w:vAlign w:val="bottom"/>
          </w:tcPr>
          <w:p>
            <w:pPr>
              <w:ind w:left="40"/>
              <w:spacing w:after="0"/>
              <w:rPr>
                <w:sz w:val="20"/>
                <w:szCs w:val="20"/>
                <w:color w:val="auto"/>
              </w:rPr>
            </w:pPr>
            <w:r>
              <w:rPr>
                <w:rFonts w:ascii="Arial" w:cs="Arial" w:eastAsia="Arial" w:hAnsi="Arial"/>
                <w:sz w:val="16"/>
                <w:szCs w:val="16"/>
                <w:color w:val="auto"/>
              </w:rPr>
              <w:t>Gain on sale of intangible assets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75,249</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75,249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Foreign currency (loss) gain, net</w:t>
            </w:r>
          </w:p>
        </w:tc>
        <w:tc>
          <w:tcPr>
            <w:tcW w:w="28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b w:val="1"/>
                <w:bCs w:val="1"/>
                <w:color w:val="auto"/>
              </w:rPr>
              <w:t>(10,564)</w:t>
            </w:r>
          </w:p>
        </w:tc>
        <w:tc>
          <w:tcPr>
            <w:tcW w:w="5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7,886</w:t>
            </w:r>
          </w:p>
        </w:tc>
        <w:tc>
          <w:tcPr>
            <w:tcW w:w="38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b w:val="1"/>
                <w:bCs w:val="1"/>
                <w:color w:val="auto"/>
              </w:rPr>
              <w:t>(2,618)</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(9,350)</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Gain on Berkshire marketable equity securities exchange</w:t>
            </w:r>
          </w:p>
        </w:tc>
        <w:tc>
          <w:tcPr>
            <w:tcW w:w="2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266,733</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Gain on sale of headquarters building</w:t>
            </w:r>
          </w:p>
        </w:tc>
        <w:tc>
          <w:tcPr>
            <w:tcW w:w="2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127,670</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(Losses) gain on sales or write-down of marketable equity securities</w:t>
            </w:r>
          </w:p>
        </w:tc>
        <w:tc>
          <w:tcPr>
            <w:tcW w:w="28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b w:val="1"/>
                <w:bCs w:val="1"/>
                <w:color w:val="auto"/>
              </w:rPr>
              <w:t>(3,044)</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879</w:t>
            </w: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(159)</w:t>
            </w: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1,923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67"/>
        </w:trPr>
        <w:tc>
          <w:tcPr>
            <w:tcW w:w="6060" w:type="dxa"/>
            <w:vAlign w:val="bottom"/>
          </w:tcPr>
          <w:p>
            <w:pPr>
              <w:ind w:left="500"/>
              <w:spacing w:after="0"/>
              <w:rPr>
                <w:sz w:val="20"/>
                <w:szCs w:val="20"/>
                <w:color w:val="auto"/>
              </w:rPr>
            </w:pPr>
            <w:r>
              <w:rPr>
                <w:rFonts w:ascii="Arial" w:cs="Arial" w:eastAsia="Arial" w:hAnsi="Arial"/>
                <w:sz w:val="16"/>
                <w:szCs w:val="16"/>
                <w:b w:val="1"/>
                <w:bCs w:val="1"/>
                <w:color w:val="auto"/>
              </w:rPr>
              <w:t>Total Other Non-Operating Income (Expense)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64,526</w:t>
            </w:r>
          </w:p>
        </w:tc>
        <w:tc>
          <w:tcPr>
            <w:tcW w:w="5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8,110</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465,913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(8,831)</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July 2014, the cable division sold wireless spectrum licenses for $98.8 million; a pre-tax gain of $75.2 million was reported in the third quarter of 2014 in connection with these sales. The licenses had been purchased in the 2006 AWS Auction.</w:t>
      </w:r>
    </w:p>
    <w:p>
      <w:pPr>
        <w:spacing w:after="0" w:line="18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June 30, 2014, the Company completed a transaction with Berkshire Hathaway, as described in Note 4 that included the exchange of 2,107 Class A Berkshire shares and 1,278 Class B Berkshire shares owned by the Company; a $266.7 million gain was recorded.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$158 million. In connection with the sale, the Company recorded a $127.7 million pre-tax gain.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6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ACCUMULATED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00" w:type="dxa"/>
            <w:vAlign w:val="bottom"/>
          </w:tcPr>
          <w:p>
            <w:pPr>
              <w:jc w:val="center"/>
              <w:ind w:right="43"/>
              <w:spacing w:after="0"/>
              <w:rPr>
                <w:sz w:val="20"/>
                <w:szCs w:val="20"/>
                <w:color w:val="auto"/>
              </w:rPr>
            </w:pPr>
            <w:r>
              <w:rPr>
                <w:rFonts w:ascii="Arial" w:cs="Arial" w:eastAsia="Arial" w:hAnsi="Arial"/>
                <w:sz w:val="14"/>
                <w:szCs w:val="14"/>
                <w:b w:val="1"/>
                <w:bCs w:val="1"/>
                <w:color w:val="auto"/>
              </w:rPr>
              <w:t>Income</w:t>
            </w:r>
          </w:p>
        </w:tc>
        <w:tc>
          <w:tcPr>
            <w:tcW w:w="320" w:type="dxa"/>
            <w:vAlign w:val="bottom"/>
          </w:tcPr>
          <w:p>
            <w:pPr>
              <w:spacing w:after="0"/>
              <w:rPr>
                <w:sz w:val="22"/>
                <w:szCs w:val="22"/>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color w:val="auto"/>
                <w:w w:val="98"/>
              </w:rPr>
              <w:t>Before-Tax</w:t>
            </w:r>
          </w:p>
        </w:tc>
        <w:tc>
          <w:tcPr>
            <w:tcW w:w="180" w:type="dxa"/>
            <w:vAlign w:val="bottom"/>
          </w:tcPr>
          <w:p>
            <w:pPr>
              <w:spacing w:after="0"/>
              <w:rPr>
                <w:sz w:val="22"/>
                <w:szCs w:val="22"/>
                <w:color w:val="auto"/>
              </w:rPr>
            </w:pPr>
          </w:p>
        </w:tc>
        <w:tc>
          <w:tcPr>
            <w:tcW w:w="780" w:type="dxa"/>
            <w:vAlign w:val="bottom"/>
          </w:tcPr>
          <w:p>
            <w:pPr>
              <w:jc w:val="right"/>
              <w:ind w:right="163"/>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22"/>
                <w:szCs w:val="22"/>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00" w:type="dxa"/>
            <w:vAlign w:val="bottom"/>
          </w:tcPr>
          <w:p>
            <w:pPr>
              <w:jc w:val="center"/>
              <w:ind w:right="23"/>
              <w:spacing w:after="0"/>
              <w:rPr>
                <w:sz w:val="20"/>
                <w:szCs w:val="20"/>
                <w:color w:val="auto"/>
              </w:rPr>
            </w:pPr>
            <w:r>
              <w:rPr>
                <w:rFonts w:ascii="Arial" w:cs="Arial" w:eastAsia="Arial" w:hAnsi="Arial"/>
                <w:sz w:val="14"/>
                <w:szCs w:val="14"/>
                <w:b w:val="1"/>
                <w:bCs w:val="1"/>
                <w:color w:val="auto"/>
                <w:w w:val="99"/>
              </w:rPr>
              <w:t>Tax</w:t>
            </w:r>
          </w:p>
        </w:tc>
        <w:tc>
          <w:tcPr>
            <w:tcW w:w="320" w:type="dxa"/>
            <w:vAlign w:val="bottom"/>
          </w:tcPr>
          <w:p>
            <w:pPr>
              <w:spacing w:after="0"/>
              <w:rPr>
                <w:sz w:val="18"/>
                <w:szCs w:val="18"/>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8"/>
                <w:szCs w:val="18"/>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color w:val="auto"/>
              </w:rPr>
              <w:t>Tax</w:t>
            </w:r>
          </w:p>
        </w:tc>
        <w:tc>
          <w:tcPr>
            <w:tcW w:w="220" w:type="dxa"/>
            <w:vAlign w:val="bottom"/>
          </w:tcPr>
          <w:p>
            <w:pPr>
              <w:spacing w:after="0"/>
              <w:rPr>
                <w:sz w:val="18"/>
                <w:szCs w:val="18"/>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(9,777)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(9,777)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5,639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5,639</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Unrealized gains for the period, net</w:t>
            </w:r>
          </w:p>
        </w:tc>
        <w:tc>
          <w:tcPr>
            <w:tcW w:w="140" w:type="dxa"/>
            <w:vAlign w:val="bottom"/>
          </w:tcPr>
          <w:p>
            <w:pPr>
              <w:spacing w:after="0"/>
              <w:rPr>
                <w:sz w:val="23"/>
                <w:szCs w:val="23"/>
                <w:color w:val="auto"/>
              </w:rPr>
            </w:pPr>
          </w:p>
        </w:tc>
        <w:tc>
          <w:tcPr>
            <w:tcW w:w="960" w:type="dxa"/>
            <w:vAlign w:val="bottom"/>
          </w:tcPr>
          <w:p>
            <w:pPr>
              <w:jc w:val="right"/>
              <w:ind w:right="82"/>
              <w:spacing w:after="0"/>
              <w:rPr>
                <w:sz w:val="20"/>
                <w:szCs w:val="20"/>
                <w:color w:val="auto"/>
              </w:rPr>
            </w:pPr>
            <w:r>
              <w:rPr>
                <w:rFonts w:ascii="Arial" w:cs="Arial" w:eastAsia="Arial" w:hAnsi="Arial"/>
                <w:sz w:val="16"/>
                <w:szCs w:val="16"/>
                <w:b w:val="1"/>
                <w:bCs w:val="1"/>
                <w:color w:val="auto"/>
              </w:rPr>
              <w:t>9,734</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(3,894)</w:t>
            </w:r>
          </w:p>
        </w:tc>
        <w:tc>
          <w:tcPr>
            <w:tcW w:w="32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5,840</w:t>
            </w:r>
          </w:p>
        </w:tc>
        <w:tc>
          <w:tcPr>
            <w:tcW w:w="200" w:type="dxa"/>
            <w:vAlign w:val="bottom"/>
          </w:tcPr>
          <w:p>
            <w:pPr>
              <w:spacing w:after="0"/>
              <w:rPr>
                <w:sz w:val="23"/>
                <w:szCs w:val="23"/>
                <w:color w:val="auto"/>
              </w:rPr>
            </w:pPr>
          </w:p>
        </w:tc>
        <w:tc>
          <w:tcPr>
            <w:tcW w:w="980" w:type="dxa"/>
            <w:vAlign w:val="bottom"/>
          </w:tcPr>
          <w:p>
            <w:pPr>
              <w:jc w:val="right"/>
              <w:ind w:right="122"/>
              <w:spacing w:after="0"/>
              <w:rPr>
                <w:sz w:val="20"/>
                <w:szCs w:val="20"/>
                <w:color w:val="auto"/>
              </w:rPr>
            </w:pPr>
            <w:r>
              <w:rPr>
                <w:rFonts w:ascii="Arial" w:cs="Arial" w:eastAsia="Arial" w:hAnsi="Arial"/>
                <w:sz w:val="16"/>
                <w:szCs w:val="16"/>
                <w:color w:val="auto"/>
              </w:rPr>
              <w:t>938</w:t>
            </w:r>
          </w:p>
        </w:tc>
        <w:tc>
          <w:tcPr>
            <w:tcW w:w="180" w:type="dxa"/>
            <w:vAlign w:val="bottom"/>
          </w:tcPr>
          <w:p>
            <w:pPr>
              <w:spacing w:after="0"/>
              <w:rPr>
                <w:sz w:val="23"/>
                <w:szCs w:val="23"/>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(375)</w:t>
            </w:r>
          </w:p>
        </w:tc>
        <w:tc>
          <w:tcPr>
            <w:tcW w:w="22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40" w:type="dxa"/>
            <w:vAlign w:val="bottom"/>
          </w:tcPr>
          <w:p>
            <w:pPr>
              <w:spacing w:after="0"/>
              <w:rPr>
                <w:sz w:val="23"/>
                <w:szCs w:val="23"/>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(101)</w:t>
            </w:r>
          </w:p>
        </w:tc>
        <w:tc>
          <w:tcPr>
            <w:tcW w:w="2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320" w:type="dxa"/>
            <w:vAlign w:val="bottom"/>
          </w:tcPr>
          <w:p>
            <w:pPr>
              <w:spacing w:after="0"/>
              <w:rPr>
                <w:sz w:val="23"/>
                <w:szCs w:val="23"/>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(60)</w:t>
            </w:r>
          </w:p>
        </w:tc>
        <w:tc>
          <w:tcPr>
            <w:tcW w:w="200" w:type="dxa"/>
            <w:vAlign w:val="bottom"/>
          </w:tcPr>
          <w:p>
            <w:pPr>
              <w:spacing w:after="0"/>
              <w:rPr>
                <w:sz w:val="23"/>
                <w:szCs w:val="23"/>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rPr>
                <w:sz w:val="23"/>
                <w:szCs w:val="23"/>
                <w:color w:val="auto"/>
              </w:rPr>
            </w:pP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 included in net income</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(7,425)</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2,970</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(4,455)</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2,004</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(801)</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(7,526)</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3,011</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(4,515)</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1,620</w:t>
            </w: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(647)</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040" w:type="dxa"/>
            <w:vAlign w:val="bottom"/>
          </w:tcPr>
          <w:p>
            <w:pPr>
              <w:ind w:left="180"/>
              <w:spacing w:after="0"/>
              <w:rPr>
                <w:sz w:val="20"/>
                <w:szCs w:val="20"/>
                <w:color w:val="auto"/>
              </w:rPr>
            </w:pPr>
            <w:r>
              <w:rPr>
                <w:rFonts w:ascii="Arial" w:cs="Arial" w:eastAsia="Arial" w:hAnsi="Arial"/>
                <w:sz w:val="16"/>
                <w:szCs w:val="16"/>
                <w:color w:val="auto"/>
              </w:rPr>
              <w:t>Gain for the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230</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138</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(7,339)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(8,314)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8,212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7,184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22"/>
                <w:szCs w:val="22"/>
                <w:color w:val="auto"/>
              </w:rPr>
            </w:pPr>
          </w:p>
        </w:tc>
        <w:tc>
          <w:tcPr>
            <w:tcW w:w="700" w:type="dxa"/>
            <w:vAlign w:val="bottom"/>
          </w:tcPr>
          <w:p>
            <w:pPr>
              <w:jc w:val="center"/>
              <w:ind w:right="43"/>
              <w:spacing w:after="0"/>
              <w:rPr>
                <w:sz w:val="20"/>
                <w:szCs w:val="20"/>
                <w:color w:val="auto"/>
              </w:rPr>
            </w:pPr>
            <w:r>
              <w:rPr>
                <w:rFonts w:ascii="Arial" w:cs="Arial" w:eastAsia="Arial" w:hAnsi="Arial"/>
                <w:sz w:val="14"/>
                <w:szCs w:val="14"/>
                <w:b w:val="1"/>
                <w:bCs w:val="1"/>
                <w:color w:val="auto"/>
              </w:rPr>
              <w:t>Income</w:t>
            </w:r>
          </w:p>
        </w:tc>
        <w:tc>
          <w:tcPr>
            <w:tcW w:w="320" w:type="dxa"/>
            <w:vAlign w:val="bottom"/>
          </w:tcPr>
          <w:p>
            <w:pPr>
              <w:spacing w:after="0"/>
              <w:rPr>
                <w:sz w:val="22"/>
                <w:szCs w:val="22"/>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22"/>
                <w:szCs w:val="22"/>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color w:val="auto"/>
                <w:w w:val="98"/>
              </w:rPr>
              <w:t>Before-Tax</w:t>
            </w:r>
          </w:p>
        </w:tc>
        <w:tc>
          <w:tcPr>
            <w:tcW w:w="180" w:type="dxa"/>
            <w:vAlign w:val="bottom"/>
          </w:tcPr>
          <w:p>
            <w:pPr>
              <w:spacing w:after="0"/>
              <w:rPr>
                <w:sz w:val="22"/>
                <w:szCs w:val="22"/>
                <w:color w:val="auto"/>
              </w:rPr>
            </w:pPr>
          </w:p>
        </w:tc>
        <w:tc>
          <w:tcPr>
            <w:tcW w:w="780" w:type="dxa"/>
            <w:vAlign w:val="bottom"/>
          </w:tcPr>
          <w:p>
            <w:pPr>
              <w:jc w:val="right"/>
              <w:ind w:right="163"/>
              <w:spacing w:after="0"/>
              <w:rPr>
                <w:sz w:val="20"/>
                <w:szCs w:val="20"/>
                <w:color w:val="auto"/>
              </w:rPr>
            </w:pPr>
            <w:r>
              <w:rPr>
                <w:rFonts w:ascii="Arial" w:cs="Arial" w:eastAsia="Arial" w:hAnsi="Arial"/>
                <w:sz w:val="14"/>
                <w:szCs w:val="14"/>
                <w:color w:val="auto"/>
              </w:rPr>
              <w:t>Income</w:t>
            </w:r>
          </w:p>
        </w:tc>
        <w:tc>
          <w:tcPr>
            <w:tcW w:w="220" w:type="dxa"/>
            <w:vAlign w:val="bottom"/>
          </w:tcPr>
          <w:p>
            <w:pPr>
              <w:spacing w:after="0"/>
              <w:rPr>
                <w:sz w:val="22"/>
                <w:szCs w:val="22"/>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960" w:type="dxa"/>
            <w:vAlign w:val="bottom"/>
          </w:tcPr>
          <w:p>
            <w:pPr>
              <w:jc w:val="center"/>
              <w:ind w:right="102"/>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700" w:type="dxa"/>
            <w:vAlign w:val="bottom"/>
          </w:tcPr>
          <w:p>
            <w:pPr>
              <w:jc w:val="center"/>
              <w:ind w:right="23"/>
              <w:spacing w:after="0"/>
              <w:rPr>
                <w:sz w:val="20"/>
                <w:szCs w:val="20"/>
                <w:color w:val="auto"/>
              </w:rPr>
            </w:pPr>
            <w:r>
              <w:rPr>
                <w:rFonts w:ascii="Arial" w:cs="Arial" w:eastAsia="Arial" w:hAnsi="Arial"/>
                <w:sz w:val="14"/>
                <w:szCs w:val="14"/>
                <w:b w:val="1"/>
                <w:bCs w:val="1"/>
                <w:color w:val="auto"/>
                <w:w w:val="99"/>
              </w:rPr>
              <w:t>Tax</w:t>
            </w:r>
          </w:p>
        </w:tc>
        <w:tc>
          <w:tcPr>
            <w:tcW w:w="320" w:type="dxa"/>
            <w:vAlign w:val="bottom"/>
          </w:tcPr>
          <w:p>
            <w:pPr>
              <w:spacing w:after="0"/>
              <w:rPr>
                <w:sz w:val="18"/>
                <w:szCs w:val="18"/>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980" w:type="dxa"/>
            <w:vAlign w:val="bottom"/>
          </w:tcPr>
          <w:p>
            <w:pPr>
              <w:jc w:val="center"/>
              <w:ind w:right="142"/>
              <w:spacing w:after="0"/>
              <w:rPr>
                <w:sz w:val="20"/>
                <w:szCs w:val="20"/>
                <w:color w:val="auto"/>
              </w:rPr>
            </w:pPr>
            <w:r>
              <w:rPr>
                <w:rFonts w:ascii="Arial" w:cs="Arial" w:eastAsia="Arial" w:hAnsi="Arial"/>
                <w:sz w:val="14"/>
                <w:szCs w:val="14"/>
                <w:color w:val="auto"/>
                <w:w w:val="99"/>
              </w:rPr>
              <w:t>Amount</w:t>
            </w:r>
          </w:p>
        </w:tc>
        <w:tc>
          <w:tcPr>
            <w:tcW w:w="180" w:type="dxa"/>
            <w:vAlign w:val="bottom"/>
          </w:tcPr>
          <w:p>
            <w:pPr>
              <w:spacing w:after="0"/>
              <w:rPr>
                <w:sz w:val="18"/>
                <w:szCs w:val="18"/>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color w:val="auto"/>
              </w:rPr>
              <w:t>Tax</w:t>
            </w:r>
          </w:p>
        </w:tc>
        <w:tc>
          <w:tcPr>
            <w:tcW w:w="220" w:type="dxa"/>
            <w:vAlign w:val="bottom"/>
          </w:tcPr>
          <w:p>
            <w:pPr>
              <w:spacing w:after="0"/>
              <w:rPr>
                <w:sz w:val="18"/>
                <w:szCs w:val="18"/>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56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period, net</w:t>
      </w:r>
    </w:p>
    <w:p>
      <w:pPr>
        <w:spacing w:after="0" w:line="59" w:lineRule="exact"/>
        <w:rPr>
          <w:sz w:val="20"/>
          <w:szCs w:val="20"/>
          <w:color w:val="auto"/>
        </w:rPr>
      </w:pPr>
    </w:p>
    <w:p>
      <w:pPr>
        <w:ind w:left="340" w:hanging="161"/>
        <w:spacing w:after="0" w:line="253" w:lineRule="auto"/>
        <w:rPr>
          <w:sz w:val="20"/>
          <w:szCs w:val="20"/>
          <w:color w:val="auto"/>
        </w:rPr>
      </w:pPr>
      <w:r>
        <w:rPr>
          <w:rFonts w:ascii="Arial" w:cs="Arial" w:eastAsia="Arial" w:hAnsi="Arial"/>
          <w:sz w:val="16"/>
          <w:szCs w:val="16"/>
          <w:color w:val="auto"/>
        </w:rPr>
        <w:t>Reclassification adjustment for realization of (gain) loss on exchange, sale or write-down of available-for-sale securities included in net income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Settlement gain included in net income</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period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(7,111)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(7,111)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(2,061)</w:t>
            </w:r>
          </w:p>
        </w:tc>
      </w:tr>
      <w:tr>
        <w:trPr>
          <w:trHeight w:val="540"/>
        </w:trPr>
        <w:tc>
          <w:tcPr>
            <w:tcW w:w="2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46,139</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(18,456)</w:t>
            </w:r>
          </w:p>
        </w:tc>
        <w:tc>
          <w:tcPr>
            <w:tcW w:w="280" w:type="dxa"/>
            <w:vAlign w:val="bottom"/>
          </w:tcPr>
          <w:p>
            <w:pPr>
              <w:spacing w:after="0"/>
              <w:rPr>
                <w:sz w:val="24"/>
                <w:szCs w:val="24"/>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27,683</w:t>
            </w:r>
          </w:p>
        </w:tc>
        <w:tc>
          <w:tcPr>
            <w:tcW w:w="34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81,439</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(32,575)</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48,864</w:t>
            </w:r>
          </w:p>
        </w:tc>
      </w:tr>
      <w:tr>
        <w:trPr>
          <w:trHeight w:val="634"/>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(265,274)</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106,110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(159,164)</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264"/>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(219,135)</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87,654</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(131,481)</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80,555</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(32,222)</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48,333</w:t>
            </w:r>
          </w:p>
        </w:tc>
      </w:tr>
      <w:tr>
        <w:trPr>
          <w:trHeight w:val="521"/>
        </w:trPr>
        <w:tc>
          <w:tcPr>
            <w:tcW w:w="20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(305)</w:t>
            </w:r>
          </w:p>
        </w:tc>
        <w:tc>
          <w:tcPr>
            <w:tcW w:w="240" w:type="dxa"/>
            <w:vAlign w:val="bottom"/>
          </w:tcPr>
          <w:p>
            <w:pPr>
              <w:spacing w:after="0"/>
              <w:rPr>
                <w:sz w:val="24"/>
                <w:szCs w:val="24"/>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122</w:t>
            </w:r>
          </w:p>
        </w:tc>
        <w:tc>
          <w:tcPr>
            <w:tcW w:w="2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(183)</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(1,205)</w:t>
            </w:r>
          </w:p>
        </w:tc>
        <w:tc>
          <w:tcPr>
            <w:tcW w:w="240" w:type="dxa"/>
            <w:vAlign w:val="bottom"/>
          </w:tcPr>
          <w:p>
            <w:pPr>
              <w:spacing w:after="0"/>
              <w:rPr>
                <w:sz w:val="24"/>
                <w:szCs w:val="24"/>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482</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(22,032)</w:t>
            </w:r>
          </w:p>
        </w:tc>
        <w:tc>
          <w:tcPr>
            <w:tcW w:w="2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8,813</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(13,219)</w:t>
            </w:r>
          </w:p>
        </w:tc>
        <w:tc>
          <w:tcPr>
            <w:tcW w:w="340" w:type="dxa"/>
            <w:vAlign w:val="bottom"/>
          </w:tcPr>
          <w:p>
            <w:pPr>
              <w:spacing w:after="0"/>
              <w:rPr>
                <w:sz w:val="23"/>
                <w:szCs w:val="23"/>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6,325</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(2,529)</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3,796</w:t>
            </w:r>
          </w:p>
        </w:tc>
      </w:tr>
      <w:tr>
        <w:trPr>
          <w:trHeight w:val="283"/>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(3,471)</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1,388</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w:t>
            </w:r>
          </w:p>
        </w:tc>
      </w:tr>
      <w:tr>
        <w:trPr>
          <w:trHeight w:val="264"/>
        </w:trPr>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(22,337)</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8,935</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(13,402)</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1,649</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990</w:t>
            </w:r>
          </w:p>
        </w:tc>
      </w:tr>
      <w:tr>
        <w:trPr>
          <w:trHeight w:val="534"/>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641</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385</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r>
      <w:tr>
        <w:trPr>
          <w:trHeight w:val="264"/>
        </w:trPr>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(247,942)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96,333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(151,609)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80,402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(32,985)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47,417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4620" w:space="420"/>
            <w:col w:w="6380"/>
          </w:cols>
          <w:pgMar w:left="240" w:top="562"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3"/>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Unrealized Gain</w:t>
            </w:r>
          </w:p>
        </w:tc>
        <w:tc>
          <w:tcPr>
            <w:tcW w:w="220" w:type="dxa"/>
            <w:vAlign w:val="bottom"/>
          </w:tcPr>
          <w:p>
            <w:pPr>
              <w:spacing w:after="0"/>
              <w:rPr>
                <w:sz w:val="14"/>
                <w:szCs w:val="14"/>
                <w:color w:val="auto"/>
              </w:rPr>
            </w:pPr>
          </w:p>
        </w:tc>
        <w:tc>
          <w:tcPr>
            <w:tcW w:w="1360" w:type="dxa"/>
            <w:vAlign w:val="bottom"/>
          </w:tcPr>
          <w:p>
            <w:pPr>
              <w:jc w:val="center"/>
              <w:ind w:right="123"/>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3"/>
              <w:spacing w:after="0"/>
              <w:rPr>
                <w:sz w:val="20"/>
                <w:szCs w:val="20"/>
                <w:color w:val="auto"/>
              </w:rPr>
            </w:pPr>
            <w:r>
              <w:rPr>
                <w:rFonts w:ascii="Arial" w:cs="Arial" w:eastAsia="Arial" w:hAnsi="Arial"/>
                <w:sz w:val="14"/>
                <w:szCs w:val="14"/>
                <w:b w:val="1"/>
                <w:bCs w:val="1"/>
                <w:color w:val="auto"/>
              </w:rPr>
              <w:t>Other</w:t>
            </w: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3"/>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rPr>
              <w:t>on Available-for-</w:t>
            </w:r>
          </w:p>
        </w:tc>
        <w:tc>
          <w:tcPr>
            <w:tcW w:w="220" w:type="dxa"/>
            <w:vAlign w:val="bottom"/>
          </w:tcPr>
          <w:p>
            <w:pPr>
              <w:spacing w:after="0"/>
              <w:rPr>
                <w:sz w:val="14"/>
                <w:szCs w:val="14"/>
                <w:color w:val="auto"/>
              </w:rPr>
            </w:pPr>
          </w:p>
        </w:tc>
        <w:tc>
          <w:tcPr>
            <w:tcW w:w="1360" w:type="dxa"/>
            <w:vAlign w:val="bottom"/>
          </w:tcPr>
          <w:p>
            <w:pPr>
              <w:jc w:val="center"/>
              <w:ind w:right="103"/>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Sale Securities</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Income</w:t>
            </w:r>
          </w:p>
        </w:tc>
      </w:tr>
      <w:tr>
        <w:trPr>
          <w:trHeight w:val="250"/>
        </w:trPr>
        <w:tc>
          <w:tcPr>
            <w:tcW w:w="4240" w:type="dxa"/>
            <w:vAlign w:val="bottom"/>
          </w:tcPr>
          <w:p>
            <w:pPr>
              <w:ind w:left="40"/>
              <w:spacing w:after="0"/>
              <w:rPr>
                <w:sz w:val="20"/>
                <w:szCs w:val="20"/>
                <w:color w:val="auto"/>
              </w:rPr>
            </w:pPr>
            <w:r>
              <w:rPr>
                <w:rFonts w:ascii="Arial" w:cs="Arial" w:eastAsia="Arial" w:hAnsi="Arial"/>
                <w:sz w:val="16"/>
                <w:szCs w:val="16"/>
                <w:color w:val="auto"/>
              </w:rPr>
              <w:t>Balance as of December 31, 2013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25,013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173,663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501,446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(628)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699,494</w:t>
            </w:r>
          </w:p>
        </w:tc>
      </w:tr>
      <w:tr>
        <w:trPr>
          <w:trHeight w:val="218"/>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(loss) before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18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(7,111)</w:t>
            </w:r>
          </w:p>
        </w:tc>
        <w:tc>
          <w:tcPr>
            <w:tcW w:w="220" w:type="dxa"/>
            <w:vAlign w:val="bottom"/>
          </w:tcPr>
          <w:p>
            <w:pPr>
              <w:spacing w:after="0"/>
              <w:rPr>
                <w:sz w:val="18"/>
                <w:szCs w:val="18"/>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b w:val="1"/>
                <w:bCs w:val="1"/>
                <w:color w:val="auto"/>
              </w:rPr>
              <w:t>27,683</w:t>
            </w:r>
          </w:p>
        </w:tc>
        <w:tc>
          <w:tcPr>
            <w:tcW w:w="220" w:type="dxa"/>
            <w:vAlign w:val="bottom"/>
          </w:tcPr>
          <w:p>
            <w:pPr>
              <w:spacing w:after="0"/>
              <w:rPr>
                <w:sz w:val="18"/>
                <w:szCs w:val="18"/>
                <w:color w:val="auto"/>
              </w:rPr>
            </w:pPr>
          </w:p>
        </w:tc>
        <w:tc>
          <w:tcPr>
            <w:tcW w:w="1360" w:type="dxa"/>
            <w:vAlign w:val="bottom"/>
          </w:tcPr>
          <w:p>
            <w:pPr>
              <w:jc w:val="right"/>
              <w:ind w:right="6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(2)</w:t>
            </w:r>
          </w:p>
        </w:tc>
        <w:tc>
          <w:tcPr>
            <w:tcW w:w="220" w:type="dxa"/>
            <w:vAlign w:val="bottom"/>
          </w:tcPr>
          <w:p>
            <w:pPr>
              <w:spacing w:after="0"/>
              <w:rPr>
                <w:sz w:val="18"/>
                <w:szCs w:val="18"/>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b w:val="1"/>
                <w:bCs w:val="1"/>
                <w:color w:val="auto"/>
              </w:rPr>
              <w:t>20,570</w:t>
            </w:r>
          </w:p>
        </w:tc>
      </w:tr>
      <w:tr>
        <w:trPr>
          <w:trHeight w:val="218"/>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Net amount reclassified from accumulated other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8"/>
        </w:trPr>
        <w:tc>
          <w:tcPr>
            <w:tcW w:w="4240" w:type="dxa"/>
            <w:vAlign w:val="bottom"/>
          </w:tcPr>
          <w:p>
            <w:pPr>
              <w:ind w:left="260"/>
              <w:spacing w:after="0"/>
              <w:rPr>
                <w:sz w:val="20"/>
                <w:szCs w:val="20"/>
                <w:color w:val="auto"/>
              </w:rPr>
            </w:pPr>
            <w:r>
              <w:rPr>
                <w:rFonts w:ascii="Arial" w:cs="Arial" w:eastAsia="Arial" w:hAnsi="Arial"/>
                <w:sz w:val="16"/>
                <w:szCs w:val="16"/>
                <w:b w:val="1"/>
                <w:bCs w:val="1"/>
                <w:color w:val="auto"/>
              </w:rPr>
              <w:t>comprehensive income</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(159,164)</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(13,402)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387</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(172,179)</w:t>
            </w:r>
          </w:p>
        </w:tc>
      </w:tr>
      <w:tr>
        <w:trPr>
          <w:trHeight w:val="264"/>
        </w:trPr>
        <w:tc>
          <w:tcPr>
            <w:tcW w:w="4240" w:type="dxa"/>
            <w:vAlign w:val="bottom"/>
          </w:tcPr>
          <w:p>
            <w:pPr>
              <w:ind w:left="180"/>
              <w:spacing w:after="0"/>
              <w:rPr>
                <w:sz w:val="20"/>
                <w:szCs w:val="20"/>
                <w:color w:val="auto"/>
              </w:rPr>
            </w:pPr>
            <w:r>
              <w:rPr>
                <w:rFonts w:ascii="Arial" w:cs="Arial" w:eastAsia="Arial" w:hAnsi="Arial"/>
                <w:sz w:val="16"/>
                <w:szCs w:val="16"/>
                <w:b w:val="1"/>
                <w:bCs w:val="1"/>
                <w:color w:val="auto"/>
              </w:rPr>
              <w:t>Other comprehensive income, net of tax</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(7,111)</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(131,481)</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(13,402)</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385</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(151,609)</w:t>
            </w:r>
          </w:p>
        </w:tc>
      </w:tr>
      <w:tr>
        <w:trPr>
          <w:trHeight w:val="26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Balance as of September 30, 2014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b w:val="1"/>
                <w:bCs w:val="1"/>
                <w:color w:val="auto"/>
              </w:rPr>
              <w:t>17,902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42,182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488,044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547,885</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62" w:right="2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62"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25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7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September 30</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500" w:type="dxa"/>
            <w:vAlign w:val="bottom"/>
            <w:vMerge w:val="restart"/>
          </w:tcPr>
          <w:p>
            <w:pPr>
              <w:jc w:val="center"/>
              <w:ind w:left="48"/>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61"/>
        </w:trPr>
        <w:tc>
          <w:tcPr>
            <w:tcW w:w="4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2013</w:t>
            </w:r>
          </w:p>
        </w:tc>
        <w:tc>
          <w:tcPr>
            <w:tcW w:w="25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20" w:type="dxa"/>
            <w:vAlign w:val="bottom"/>
          </w:tcPr>
          <w:p>
            <w:pPr>
              <w:ind w:left="180"/>
              <w:spacing w:after="0"/>
              <w:rPr>
                <w:sz w:val="20"/>
                <w:szCs w:val="20"/>
                <w:color w:val="auto"/>
              </w:rPr>
            </w:pPr>
            <w:r>
              <w:rPr>
                <w:rFonts w:ascii="Arial" w:cs="Arial" w:eastAsia="Arial" w:hAnsi="Arial"/>
                <w:sz w:val="16"/>
                <w:szCs w:val="16"/>
                <w:color w:val="auto"/>
              </w:rPr>
              <w:t>Realized (gain) loss for the period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(265,274)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(884)</w:t>
            </w:r>
          </w:p>
        </w:tc>
        <w:tc>
          <w:tcPr>
            <w:tcW w:w="250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106,110</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w:t>
            </w:r>
          </w:p>
        </w:tc>
        <w:tc>
          <w:tcPr>
            <w:tcW w:w="2500" w:type="dxa"/>
            <w:vAlign w:val="bottom"/>
          </w:tcPr>
          <w:p>
            <w:pPr>
              <w:ind w:left="1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(159,164)</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w:t>
            </w:r>
          </w:p>
        </w:tc>
        <w:tc>
          <w:tcPr>
            <w:tcW w:w="20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(101)</w:t>
            </w:r>
          </w:p>
        </w:tc>
        <w:tc>
          <w:tcPr>
            <w:tcW w:w="240" w:type="dxa"/>
            <w:vAlign w:val="bottom"/>
          </w:tcPr>
          <w:p>
            <w:pPr>
              <w:spacing w:after="0"/>
              <w:rPr>
                <w:sz w:val="23"/>
                <w:szCs w:val="23"/>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(384)</w:t>
            </w:r>
          </w:p>
        </w:tc>
        <w:tc>
          <w:tcPr>
            <w:tcW w:w="26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(305)</w:t>
            </w: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(1,205)</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(7,425)</w:t>
            </w:r>
          </w:p>
        </w:tc>
        <w:tc>
          <w:tcPr>
            <w:tcW w:w="2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2,004</w:t>
            </w:r>
          </w:p>
        </w:tc>
        <w:tc>
          <w:tcPr>
            <w:tcW w:w="26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(22,032)</w:t>
            </w:r>
          </w:p>
        </w:tc>
        <w:tc>
          <w:tcPr>
            <w:tcW w:w="240" w:type="dxa"/>
            <w:vAlign w:val="bottom"/>
          </w:tcPr>
          <w:p>
            <w:pPr>
              <w:spacing w:after="0"/>
              <w:rPr>
                <w:sz w:val="23"/>
                <w:szCs w:val="23"/>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6,325</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Settlement gain</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w:t>
            </w:r>
          </w:p>
        </w:tc>
        <w:tc>
          <w:tcPr>
            <w:tcW w:w="2500" w:type="dxa"/>
            <w:vAlign w:val="bottom"/>
          </w:tcPr>
          <w:p>
            <w:pPr>
              <w:ind w:lef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(7,526)</w:t>
            </w:r>
          </w:p>
        </w:tc>
        <w:tc>
          <w:tcPr>
            <w:tcW w:w="2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1,620</w:t>
            </w:r>
          </w:p>
        </w:tc>
        <w:tc>
          <w:tcPr>
            <w:tcW w:w="26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b w:val="1"/>
                <w:bCs w:val="1"/>
                <w:color w:val="auto"/>
              </w:rPr>
              <w:t>(22,337)</w:t>
            </w:r>
          </w:p>
        </w:tc>
        <w:tc>
          <w:tcPr>
            <w:tcW w:w="240" w:type="dxa"/>
            <w:vAlign w:val="bottom"/>
          </w:tcPr>
          <w:p>
            <w:pPr>
              <w:spacing w:after="0"/>
              <w:rPr>
                <w:sz w:val="22"/>
                <w:szCs w:val="22"/>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1,649</w:t>
            </w:r>
          </w:p>
        </w:tc>
        <w:tc>
          <w:tcPr>
            <w:tcW w:w="2500" w:type="dxa"/>
            <w:vAlign w:val="bottom"/>
          </w:tcPr>
          <w:p>
            <w:pPr>
              <w:ind w:left="14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3,011</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(647)</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8,935</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(4,515)</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973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(13,402)</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990</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b w:val="1"/>
                <w:bCs w:val="1"/>
                <w:color w:val="auto"/>
              </w:rPr>
              <w:t>217</w:t>
            </w:r>
          </w:p>
        </w:tc>
        <w:tc>
          <w:tcPr>
            <w:tcW w:w="24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205</w:t>
            </w:r>
          </w:p>
        </w:tc>
        <w:tc>
          <w:tcPr>
            <w:tcW w:w="260" w:type="dxa"/>
            <w:vAlign w:val="bottom"/>
          </w:tcPr>
          <w:p>
            <w:pPr>
              <w:spacing w:after="0"/>
              <w:rPr>
                <w:sz w:val="24"/>
                <w:szCs w:val="24"/>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auto"/>
              </w:rPr>
              <w:t>645</w:t>
            </w:r>
          </w:p>
        </w:tc>
        <w:tc>
          <w:tcPr>
            <w:tcW w:w="24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588</w:t>
            </w:r>
          </w:p>
        </w:tc>
        <w:tc>
          <w:tcPr>
            <w:tcW w:w="250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(87)</w:t>
            </w: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(258)</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2500" w:type="dxa"/>
            <w:vAlign w:val="bottom"/>
          </w:tcPr>
          <w:p>
            <w:pPr>
              <w:ind w:left="14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130</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387</w:t>
            </w: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353</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(4,385)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(172,179)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w:t>
            </w:r>
          </w:p>
        </w:tc>
        <w:tc>
          <w:tcPr>
            <w:tcW w:w="250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20" w:right="40" w:hanging="412"/>
        <w:spacing w:after="0" w:line="247"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Benefits of $1.2 million were recorded in Provision for Income Taxes related to the realized loss for the nine months ended September 30, 2014. The remaining $107.3 million for the nine months ended September 30, 2014, relates to the reversal of income taxes previously recorded on the unrealized gain of the Company’s investment in Berkshire Hathaway Inc. marketable equity securities as part of the Berkshire exchange transaction, which qualified as a tax-free distribution under IRC Section 355 and 361 (see Note 4). The amounts for the nine months ended September 30, 2013 were recorded in Provision for Income Taxes.</w:t>
      </w:r>
    </w:p>
    <w:p>
      <w:pPr>
        <w:spacing w:after="0" w:line="53" w:lineRule="exact"/>
        <w:rPr>
          <w:rFonts w:ascii="Arial" w:cs="Arial" w:eastAsia="Arial" w:hAnsi="Arial"/>
          <w:sz w:val="14"/>
          <w:szCs w:val="14"/>
          <w:color w:val="auto"/>
        </w:rPr>
      </w:pPr>
    </w:p>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44"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April 30, 2011, Kaplan Higher Education Corporation received a Civil Investigative Demand from the Office of the Attorney General of the State of Massachusetts. The demand primarily sought information pertaining to KHE's nationally accredited campuses in Massachusetts known as the Charlestown and Kenmore Square campuses. Both of those campuses closed in 2013. KHE has cooperated with the Massachusetts Attorney General and provided the requested information, as well as additional information requested in 2012 and 2013. In October 2014, the Attorney General's office sent Kaplan a "notice of intention to file" a lawsuit letter under section 93A of the Massachusetts consumer fraud statue. The letter outlined 12 allegations against the Charlestown and Kenmore Square campuses. The Company cannot predict the outcome of this inquiry or any possible litigation.</w:t>
      </w:r>
    </w:p>
    <w:p>
      <w:pPr>
        <w:spacing w:after="0" w:line="118"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U.S. Department of Education (ED) undertakes program reviews at Title IV participating institutions.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two open program reviews, including Broomall, PA, as the Company is awaiting the ED’s final program review report. The Company does not expect the final program review reports to have a material impact on KHE; however, the results of these open reviews and their impact on Kaplan’s operations are uncertain.</w:t>
      </w:r>
    </w:p>
    <w:p>
      <w:pPr>
        <w:spacing w:after="0" w:line="115"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The 90/10 Rule</w:t>
      </w:r>
      <w:r>
        <w:rPr>
          <w:rFonts w:ascii="Arial" w:cs="Arial" w:eastAsia="Arial" w:hAnsi="Arial"/>
          <w:sz w:val="18"/>
          <w:szCs w:val="18"/>
          <w:color w:val="auto"/>
        </w:rPr>
        <w:t>. 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w:t>
      </w:r>
    </w:p>
    <w:p>
      <w:pPr>
        <w:sectPr>
          <w:pgSz w:w="11900" w:h="16838" w:orient="portrait"/>
          <w:cols w:equalWidth="0" w:num="1">
            <w:col w:w="11420"/>
          </w:cols>
          <w:pgMar w:left="240" w:top="584" w:right="2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right="180"/>
        <w:spacing w:after="0" w:line="235" w:lineRule="auto"/>
        <w:rPr>
          <w:sz w:val="20"/>
          <w:szCs w:val="20"/>
          <w:color w:val="auto"/>
        </w:rPr>
      </w:pPr>
      <w:r>
        <w:rPr>
          <w:rFonts w:ascii="Arial" w:cs="Arial" w:eastAsia="Arial" w:hAnsi="Arial"/>
          <w:sz w:val="18"/>
          <w:szCs w:val="18"/>
          <w:color w:val="auto"/>
        </w:rPr>
        <w:t>While there can be no guarantee that these measures will be adequate to prevent the 90/10 ratio at some of the schools from exceeding 90% in the future, management currently estimates that each of KHE's continuing operations campuses will be 90/10 compliant in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166"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The Company has six reportable segments: Kaplan Higher Education, Kaplan Test Preparation, Kaplan International, cable, television broadcasting and other businesses.</w:t>
      </w:r>
    </w:p>
    <w:p>
      <w:pPr>
        <w:spacing w:after="0" w:line="113"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An additional school in China is expected to be sold by Kaplan in the fourth quarter of 2014. The results of the four schools are included in discontinued operations, net of tax, for all periods presented. The Kaplan International segment operating results have been reclassified to reflect this change.</w:t>
      </w:r>
    </w:p>
    <w:p>
      <w:pPr>
        <w:spacing w:after="0" w:line="115"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In June 2014, the Company completed the sale of WPLG, a television station serving the Miami market. WPLG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are included in discontinued operations, net of tax, for all periods presented. The television broadcasting segment operating results have been reclassified to reflect this change.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543,918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543,599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1,609,036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1,613,116</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195,666</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202,381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600,416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607,069</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87,442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73,488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261,390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222,618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71,845</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36,682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139,109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98,068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898,871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856,101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2,609,823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2,540,669</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12,551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17,508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32,050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36,586</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40,072</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39,715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128,015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121,038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44,979</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32,847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133,452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(9,292)</w:t>
            </w:r>
          </w:p>
        </w:tc>
        <w:tc>
          <w:tcPr>
            <w:tcW w:w="3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(5,046)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(27,034)</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(19,556)</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(7,029)</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(4,773)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(17,516)</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81,281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78,889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261,710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221,745</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Equity in Earnings of Affiliates, Net</w:t>
            </w:r>
          </w:p>
        </w:tc>
        <w:tc>
          <w:tcPr>
            <w:tcW w:w="26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4,613</w:t>
            </w:r>
          </w:p>
        </w:tc>
        <w:tc>
          <w:tcPr>
            <w:tcW w:w="3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5,892</w:t>
            </w:r>
          </w:p>
        </w:tc>
        <w:tc>
          <w:tcPr>
            <w:tcW w:w="2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100,168</w:t>
            </w:r>
          </w:p>
        </w:tc>
        <w:tc>
          <w:tcPr>
            <w:tcW w:w="28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13,178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(8,801)</w:t>
            </w:r>
          </w:p>
        </w:tc>
        <w:tc>
          <w:tcPr>
            <w:tcW w:w="3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(8,579)</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(24,938)</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(25,555)</w:t>
            </w: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64,526</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8,110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465,913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141,619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84,312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802,853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200,537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15,237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18,945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47,024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61,518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34,410</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32,946</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101,985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100,643</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2,148</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2,181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6,181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6,604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1,201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555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2,501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78</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589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53,074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54,672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158,280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170,431</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1,927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1,918</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5,649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6,081</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145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5,427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489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7,323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2,531</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7,405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2,468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13,117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8,780</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Pension (Credit) Expense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3,854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4,169</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11,563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12,506</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917</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973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2,669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338</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1,297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3,891</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191</w:t>
            </w:r>
          </w:p>
        </w:tc>
        <w:tc>
          <w:tcPr>
            <w:tcW w:w="34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173</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(18,620)</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(9,299)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(59,231)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(27,549)</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(13,320)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(43,426)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84" w:right="239" w:bottom="0" w:gutter="0" w:footer="0" w:header="0"/>
          <w:type w:val="continuous"/>
        </w:sectPr>
      </w:pPr>
    </w:p>
    <w:bookmarkStart w:id="21" w:name="page22"/>
    <w:bookmarkEnd w:id="21"/>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are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2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5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368"/>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1,732,199</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1,921,037</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Cable television</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1,190,932</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1,215,320</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293,810</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383,251</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455,154</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171,539</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390,056</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371,484</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gridSpan w:val="2"/>
          </w:tcPr>
          <w:p>
            <w:pPr>
              <w:jc w:val="right"/>
              <w:ind w:right="368"/>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4,062,151</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4,062,631</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127,270</w:t>
            </w:r>
          </w:p>
        </w:tc>
        <w:tc>
          <w:tcPr>
            <w:tcW w:w="4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487,156</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21,976</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15,754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1,267,415</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1,245,505</w:t>
            </w:r>
          </w:p>
        </w:tc>
        <w:tc>
          <w:tcPr>
            <w:tcW w:w="0" w:type="dxa"/>
            <w:vAlign w:val="bottom"/>
          </w:tcPr>
          <w:p>
            <w:pPr>
              <w:spacing w:after="0"/>
              <w:rPr>
                <w:sz w:val="1"/>
                <w:szCs w:val="1"/>
                <w:color w:val="auto"/>
              </w:rPr>
            </w:pP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 Held for Sale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9,624</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gridSpan w:val="2"/>
          </w:tcPr>
          <w:p>
            <w:pPr>
              <w:jc w:val="right"/>
              <w:ind w:right="368"/>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5,488,436</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5,811,046</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The Company’s education division comprises the following operating segments:</w:t>
            </w: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22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249,882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266,061</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755,597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811,013</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85,108</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77,431</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234,010</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232,064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207,615</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198,452</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615,507</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564,705</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1,492</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2,223</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4,891</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6,496</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(179)</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(568)</w:t>
            </w: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(969)</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543,918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543,599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1,609,036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1,613,116</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5,391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14,719</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39,487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42,354</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6,980</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3,820</w:t>
            </w: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(3,552)</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7,306</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13,853</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12,124</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40,609</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23,701</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(13,651)</w:t>
            </w:r>
          </w:p>
        </w:tc>
        <w:tc>
          <w:tcPr>
            <w:tcW w:w="34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(13,311)</w:t>
            </w: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(44,608)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(37,156)</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156</w:t>
            </w: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12,551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17,508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32,050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36,586</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7,320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9,739</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22,140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33,919</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2,865</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5,034</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9,721</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4,951</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3,870</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14,546</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11,903</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101</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302</w:t>
            </w: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617</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15,237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18,945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47,024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61,518</w:t>
            </w:r>
          </w:p>
        </w:tc>
        <w:tc>
          <w:tcPr>
            <w:tcW w:w="0" w:type="dxa"/>
            <w:vAlign w:val="bottom"/>
          </w:tcPr>
          <w:p>
            <w:pPr>
              <w:spacing w:after="0"/>
              <w:rPr>
                <w:sz w:val="1"/>
                <w:szCs w:val="1"/>
                <w:color w:val="auto"/>
              </w:rPr>
            </w:pP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1,927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1,918</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5,649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6,081</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2,628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3,201</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7,885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8,815</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722</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731</w:t>
            </w:r>
          </w:p>
        </w:tc>
        <w:tc>
          <w:tcPr>
            <w:tcW w:w="30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2,166</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70"/>
        </w:trPr>
        <w:tc>
          <w:tcPr>
            <w:tcW w:w="65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89</w:t>
            </w:r>
          </w:p>
        </w:tc>
        <w:tc>
          <w:tcPr>
            <w:tcW w:w="340" w:type="dxa"/>
            <w:vAlign w:val="bottom"/>
          </w:tcPr>
          <w:p>
            <w:pPr>
              <w:spacing w:after="0"/>
              <w:rPr>
                <w:sz w:val="23"/>
                <w:szCs w:val="23"/>
                <w:color w:val="auto"/>
              </w:rPr>
            </w:pPr>
          </w:p>
        </w:tc>
        <w:tc>
          <w:tcPr>
            <w:tcW w:w="840" w:type="dxa"/>
            <w:vAlign w:val="bottom"/>
            <w:gridSpan w:val="2"/>
          </w:tcPr>
          <w:p>
            <w:pPr>
              <w:jc w:val="right"/>
              <w:ind w:right="8"/>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20" w:type="dxa"/>
            <w:vAlign w:val="bottom"/>
          </w:tcPr>
          <w:p>
            <w:pPr>
              <w:jc w:val="right"/>
              <w:ind w:right="20"/>
              <w:spacing w:after="0"/>
              <w:rPr>
                <w:sz w:val="20"/>
                <w:szCs w:val="20"/>
                <w:color w:val="auto"/>
              </w:rPr>
            </w:pPr>
            <w:r>
              <w:rPr>
                <w:rFonts w:ascii="Arial" w:cs="Arial" w:eastAsia="Arial" w:hAnsi="Arial"/>
                <w:sz w:val="16"/>
                <w:szCs w:val="16"/>
                <w:b w:val="1"/>
                <w:bCs w:val="1"/>
                <w:color w:val="auto"/>
              </w:rPr>
              <w:t>267</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83"/>
        </w:trPr>
        <w:tc>
          <w:tcPr>
            <w:tcW w:w="65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415</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138</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1,245</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3,854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color w:val="auto"/>
              </w:rPr>
              <w:t>4,169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11,563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12,506</w:t>
            </w:r>
          </w:p>
        </w:tc>
        <w:tc>
          <w:tcPr>
            <w:tcW w:w="0" w:type="dxa"/>
            <w:vAlign w:val="bottom"/>
          </w:tcPr>
          <w:p>
            <w:pPr>
              <w:spacing w:after="0"/>
              <w:rPr>
                <w:sz w:val="1"/>
                <w:szCs w:val="1"/>
                <w:color w:val="auto"/>
              </w:rPr>
            </w:pPr>
          </w:p>
        </w:tc>
      </w:tr>
      <w:tr>
        <w:trPr>
          <w:trHeight w:val="365"/>
        </w:trPr>
        <w:tc>
          <w:tcPr>
            <w:tcW w:w="6520" w:type="dxa"/>
            <w:vAlign w:val="bottom"/>
          </w:tcPr>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Identifiable assets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8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368"/>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626,116</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859,208</w:t>
            </w:r>
          </w:p>
        </w:tc>
        <w:tc>
          <w:tcPr>
            <w:tcW w:w="0" w:type="dxa"/>
            <w:vAlign w:val="bottom"/>
          </w:tcPr>
          <w:p>
            <w:pPr>
              <w:spacing w:after="0"/>
              <w:rPr>
                <w:sz w:val="1"/>
                <w:szCs w:val="1"/>
                <w:color w:val="auto"/>
              </w:rPr>
            </w:pPr>
          </w:p>
        </w:tc>
      </w:tr>
      <w:tr>
        <w:trPr>
          <w:trHeight w:val="270"/>
        </w:trPr>
        <w:tc>
          <w:tcPr>
            <w:tcW w:w="6520" w:type="dxa"/>
            <w:vAlign w:val="bottom"/>
          </w:tcPr>
          <w:p>
            <w:pPr>
              <w:ind w:left="38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178,835</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173,435</w:t>
            </w:r>
          </w:p>
        </w:tc>
        <w:tc>
          <w:tcPr>
            <w:tcW w:w="0" w:type="dxa"/>
            <w:vAlign w:val="bottom"/>
          </w:tcPr>
          <w:p>
            <w:pPr>
              <w:spacing w:after="0"/>
              <w:rPr>
                <w:sz w:val="1"/>
                <w:szCs w:val="1"/>
                <w:color w:val="auto"/>
              </w:rPr>
            </w:pPr>
          </w:p>
        </w:tc>
      </w:tr>
      <w:tr>
        <w:trPr>
          <w:trHeight w:val="270"/>
        </w:trPr>
        <w:tc>
          <w:tcPr>
            <w:tcW w:w="6520" w:type="dxa"/>
            <w:vAlign w:val="bottom"/>
          </w:tcPr>
          <w:p>
            <w:pPr>
              <w:ind w:left="38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869,246</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864,507</w:t>
            </w:r>
          </w:p>
        </w:tc>
        <w:tc>
          <w:tcPr>
            <w:tcW w:w="0" w:type="dxa"/>
            <w:vAlign w:val="bottom"/>
          </w:tcPr>
          <w:p>
            <w:pPr>
              <w:spacing w:after="0"/>
              <w:rPr>
                <w:sz w:val="1"/>
                <w:szCs w:val="1"/>
                <w:color w:val="auto"/>
              </w:rPr>
            </w:pPr>
          </w:p>
        </w:tc>
      </w:tr>
      <w:tr>
        <w:trPr>
          <w:trHeight w:val="283"/>
        </w:trPr>
        <w:tc>
          <w:tcPr>
            <w:tcW w:w="6520" w:type="dxa"/>
            <w:vAlign w:val="bottom"/>
          </w:tcPr>
          <w:p>
            <w:pPr>
              <w:ind w:left="38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58,002</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23,887</w:t>
            </w:r>
          </w:p>
        </w:tc>
        <w:tc>
          <w:tcPr>
            <w:tcW w:w="0" w:type="dxa"/>
            <w:vAlign w:val="bottom"/>
          </w:tcPr>
          <w:p>
            <w:pPr>
              <w:spacing w:after="0"/>
              <w:rPr>
                <w:sz w:val="1"/>
                <w:szCs w:val="1"/>
                <w:color w:val="auto"/>
              </w:rPr>
            </w:pPr>
          </w:p>
        </w:tc>
      </w:tr>
      <w:tr>
        <w:trPr>
          <w:trHeight w:val="224"/>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368"/>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1,732,199</w:t>
            </w:r>
          </w:p>
        </w:tc>
        <w:tc>
          <w:tcPr>
            <w:tcW w:w="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1,921,037</w:t>
            </w:r>
          </w:p>
        </w:tc>
        <w:tc>
          <w:tcPr>
            <w:tcW w:w="0" w:type="dxa"/>
            <w:vAlign w:val="bottom"/>
          </w:tcPr>
          <w:p>
            <w:pPr>
              <w:spacing w:after="0"/>
              <w:rPr>
                <w:sz w:val="1"/>
                <w:szCs w:val="1"/>
                <w:color w:val="auto"/>
              </w:rPr>
            </w:pPr>
          </w:p>
        </w:tc>
      </w:tr>
    </w:tbl>
    <w:p>
      <w:pPr>
        <w:sectPr>
          <w:pgSz w:w="11900" w:h="16891" w:orient="portrait"/>
          <w:cols w:equalWidth="0" w:num="1">
            <w:col w:w="11420"/>
          </w:cols>
          <w:pgMar w:left="240" w:top="584" w:right="239" w:bottom="0" w:gutter="0" w:footer="0" w:header="0"/>
        </w:sectPr>
      </w:pPr>
    </w:p>
    <w:bookmarkStart w:id="22" w:name="page23"/>
    <w:bookmarkEnd w:id="22"/>
    <w:p>
      <w:pPr>
        <w:jc w:val="center"/>
        <w:ind w:righ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5448935</wp:posOffset>
            </wp:positionH>
            <wp:positionV relativeFrom="page">
              <wp:posOffset>106045</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t>18</w:t>
      </w:r>
    </w:p>
    <w:p>
      <w:pPr>
        <w:sectPr>
          <w:pgSz w:w="11900" w:h="16838" w:orient="portrait"/>
          <w:cols w:equalWidth="0" w:num="1">
            <w:col w:w="9019"/>
          </w:cols>
          <w:pgMar w:left="1440" w:top="800"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reported income from continuing operations attributable to common shares of $83.3 million ($14.32 per share) for the third quarter of 2014, compared to $54.1 million ($7.28 per share) for the third quarter of 2013. Net income attributable to common shares was $ 76.4 million ($13.12 per share) for the third quarter ended September 30, 2014, compared to $ 30.1 million ($4.05 per share) for the third quarter of last year. Net income includes $7.0 million ($1.20 per share) and $24.0 million ($ 3.23 per share) in losses from discontinued operations for the third quarter of 2014 and 2013, respectively. (Refer to “Discontinued Operations” discussion below.)</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Berkshire exchange transaction that closed on June 30, 2014, the Company acquired 1,620,190 shares of its Class B common stock, resulting in 22% and 7% fewer diluted shares outstanding, respectively, in the third quarter of and first nine months of 2014 versus the same periods in 2013. The reduction in diluted shares outstanding has resulted in increased diluted earnings per share amounts in 2014, compared with 2013.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2014 are listed below:</w:t>
      </w:r>
    </w:p>
    <w:p>
      <w:pPr>
        <w:spacing w:after="0" w:line="144" w:lineRule="exact"/>
        <w:rPr>
          <w:sz w:val="20"/>
          <w:szCs w:val="20"/>
          <w:color w:val="auto"/>
        </w:rPr>
      </w:pPr>
    </w:p>
    <w:p>
      <w:pPr>
        <w:ind w:left="180" w:right="220" w:hanging="172"/>
        <w:spacing w:after="0" w:line="235"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$13.6 million in restructuring charges at the education division and early retirement program expense and related charges at the Corporate office (after-tax impact of $8.7 million, or $1.50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$75.2 million gain from the sale of wireless licenses at the Cable division (after-tax impact of $48.2 million, or $8.29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$10.6 million in non-operating unrealized foreign currency losses (after-tax impact of $6.8 million, or $1.16 per share).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third quarter of 2013 are listed below:</w:t>
      </w:r>
    </w:p>
    <w:p>
      <w:pPr>
        <w:spacing w:after="0" w:line="14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 million in restructuring charges at the education division (after-tax impact of $3.1 million, or $0.42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$7.9 million in non-operating unrealized foreign currency gains (after-tax impact of $5.0 million, or $0.69 per share).</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Revenue for the third quarter of 2014 was $898.9 million, up 5% from $856.1 million in the third quarter of 2013. The Company reported operating income of $81.3 million in the third quarter of 2014, compared to $78.9 million in the third quarter of 2013. Revenues increased at the television broadcasting division and in other businesses, declined at the cable division and were flat at the education division. Operating results were up in the third quarter of 2014 due to improvements at the television broadcasting and cable divisions, offset by declines at the education division and in other businesses.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6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For the first nine months of 2014, the Company reported income from continuing operations attributable to common shares of $588.6 million</w:t>
      </w:r>
    </w:p>
    <w:p>
      <w:pPr>
        <w:ind w:right="20"/>
        <w:spacing w:after="0" w:line="223" w:lineRule="auto"/>
        <w:rPr>
          <w:sz w:val="20"/>
          <w:szCs w:val="20"/>
          <w:color w:val="auto"/>
        </w:rPr>
      </w:pPr>
      <w:r>
        <w:rPr>
          <w:rFonts w:ascii="Arial" w:cs="Arial" w:eastAsia="Arial" w:hAnsi="Arial"/>
          <w:sz w:val="18"/>
          <w:szCs w:val="18"/>
          <w:color w:val="auto"/>
        </w:rPr>
        <w:t>($85.24 per share), compared to $121.9 million ($16.41 per share) for the first nine months of 2013. Net income attributable to common shares was $ 958.6 million ($138.79 per share) for the first nine months of 2014, compared to $79.5 million ($10.70 per share) for the same period of 2013. Net income includes $369.9 million ($53.55 per share) in income and $42.3 million ($ 5.71 per share) in losses from discontinued operations for the first nine months of 2014 and 2013, respectively. (Refer to “Discontinued Operations” discussion below.)The per share impact of certain items for the first nine months of 2014 is different than the per share impact of these items for the distinct quarterly periods of 2014, as a result of the timing of the Berkshire exchange transaction. Items included in the Company’s income from continuing operations for the first nine months of 2014 are listed below:</w:t>
      </w:r>
    </w:p>
    <w:p>
      <w:pPr>
        <w:spacing w:after="0" w:line="139" w:lineRule="exact"/>
        <w:rPr>
          <w:sz w:val="20"/>
          <w:szCs w:val="20"/>
          <w:color w:val="auto"/>
        </w:rPr>
      </w:pPr>
    </w:p>
    <w:p>
      <w:pPr>
        <w:ind w:left="180" w:right="140" w:hanging="172"/>
        <w:spacing w:after="0" w:line="23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$28.6 million in early retirement program expense and related charges, restructuring charges and software asset write-offs at the education division and the corporate office (after-tax impact of $18.3 million, or $2.65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$90.9 million gain from the Classified Ventures’ sale of apartments.com (after-tax impact of $58.2 million, or $8.43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$266.7 million gain from the Berkshire exchange transaction (after-tax impact of $266.7 million, or $38.61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$127.7 million gain on the sale of the corporate headquarters building (after-tax impact of $81.8 million, or $11.85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$75.2 million gain from the sale of wireless licenses at the Cable division (after-tax impact of $48.2 million, or $6.98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 million in non-operating unrealized foreign currency losses (after-tax impact of $1.7 million, or $0.24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nine months of 2013 are listed below:</w:t>
      </w:r>
    </w:p>
    <w:p>
      <w:pPr>
        <w:spacing w:after="0" w:line="144"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$18.2 million in restructuring charges at the education division (after-tax impact of $13.2 million, or $1.80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$9.4 million in non-operating unrealized foreign currency losses (after-tax impact of $6.0 million, or $0.83 per share).</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for the first nine months of 2014 was $ 2,609.8 million, up 3% from $2,540.7 million in the first nine months of 2013. Revenues increased at the television broadcasting division and in other businesses, while revenues were down slightly at the cable division and were flat at the education division. The Company reported operating income of $261.7 million for the first nine months of 2014, compared to $221.7 million for the first nine months of 2013. Operating results improved at the television broadcasting and cable divisions, offset by a decline at the education division and in other businesses.</w:t>
      </w:r>
    </w:p>
    <w:p>
      <w:pPr>
        <w:spacing w:after="0" w:line="137"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June 30, 2014, the Company and Berkshire Hathaway Inc. completed a transaction in which Berkshire acquired a wholly-owned subsidiary of the Company that included, among other things, WPLG, a Miami -based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first nine months of 2014 includes a $266.7 million gain from the exchange of the Berkshire Hathaway shares, and income from discontinued operations for the first nine months of 2014 includes a $375.0 million gain from the WPLG exchange.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Education division revenue totaled $543.9 million for the third quarter of 2014, compared with revenue of $543.6 million for the third quarter of 2013. Kaplan reported third quarter 2014 operating income of $12.6 million, compared to $17.5 million in the third quarter of 2013. Restructuring costs totaled $3.3 million and $4.0 million for the third quarter of 2014 and 2013, respectively.</w:t>
      </w:r>
    </w:p>
    <w:p>
      <w:pPr>
        <w:spacing w:after="0" w:line="137" w:lineRule="exact"/>
        <w:rPr>
          <w:sz w:val="20"/>
          <w:szCs w:val="20"/>
          <w:color w:val="auto"/>
        </w:rPr>
      </w:pPr>
    </w:p>
    <w:p>
      <w:pPr>
        <w:jc w:val="both"/>
        <w:ind w:right="100"/>
        <w:spacing w:after="0" w:line="227" w:lineRule="auto"/>
        <w:rPr>
          <w:sz w:val="20"/>
          <w:szCs w:val="20"/>
          <w:color w:val="auto"/>
        </w:rPr>
      </w:pPr>
      <w:r>
        <w:rPr>
          <w:rFonts w:ascii="Arial" w:cs="Arial" w:eastAsia="Arial" w:hAnsi="Arial"/>
          <w:sz w:val="18"/>
          <w:szCs w:val="18"/>
          <w:color w:val="auto"/>
        </w:rPr>
        <w:t>For the first nine months of 2014, education division revenue totaled $1,609.0 million, compared with revenue of $1,613.1 million for the same period of 2013. Kaplan reported operating income of $32.1 million for the first nine months of 2014, compared to $36.6 million for the first nine months of 2013. Restructuring costs and software asset write-offs totaled $13.8 million and $18.2 million for the first nine months of 2014 and 2013, respectively.</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566" w:right="299" w:bottom="1440" w:gutter="0" w:footer="0" w:header="0"/>
        </w:sectPr>
      </w:pPr>
    </w:p>
    <w:bookmarkStart w:id="25" w:name="page26"/>
    <w:bookmarkEnd w:id="25"/>
    <w:p>
      <w:pPr>
        <w:ind w:right="260"/>
        <w:spacing w:after="0" w:line="256"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is expected to be sold by Kaplan in the fourth quarter of 2014. Kaplan's operating results exclude these schools, which have been reclassified to discontinued operations for all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third quarter and first nine months of 2014 compared to 2013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2013</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249,882</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266,061</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755,597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811,013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85,108</w:t>
            </w: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77,431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234,010</w:t>
            </w:r>
          </w:p>
        </w:tc>
        <w:tc>
          <w:tcPr>
            <w:tcW w:w="4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232,064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207,615</w:t>
            </w: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198,452</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615,507</w:t>
            </w:r>
          </w:p>
        </w:tc>
        <w:tc>
          <w:tcPr>
            <w:tcW w:w="4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564,705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1,492</w:t>
            </w: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2,223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4,891</w:t>
            </w:r>
          </w:p>
        </w:tc>
        <w:tc>
          <w:tcPr>
            <w:tcW w:w="4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6,496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2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(179)</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(969)</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543,918</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543,599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1,609,036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8"/>
              </w:rPr>
              <w:t>1,613,116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5,391</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14,719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(63)</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39,487</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42,354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6,980</w:t>
            </w: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3,820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(3,552)</w:t>
            </w:r>
          </w:p>
        </w:tc>
        <w:tc>
          <w:tcPr>
            <w:tcW w:w="4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7,306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13,853</w:t>
            </w:r>
          </w:p>
        </w:tc>
        <w:tc>
          <w:tcPr>
            <w:tcW w:w="54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12,124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3"/>
                <w:szCs w:val="23"/>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40,609</w:t>
            </w:r>
          </w:p>
        </w:tc>
        <w:tc>
          <w:tcPr>
            <w:tcW w:w="460" w:type="dxa"/>
            <w:vAlign w:val="bottom"/>
          </w:tcPr>
          <w:p>
            <w:pPr>
              <w:spacing w:after="0"/>
              <w:rPr>
                <w:sz w:val="23"/>
                <w:szCs w:val="23"/>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23,701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(11,724)</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(11,393)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(38,959)</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(31,075)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70"/>
        </w:trPr>
        <w:tc>
          <w:tcPr>
            <w:tcW w:w="296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(1,927)</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(1,918)</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b w:val="1"/>
                <w:bCs w:val="1"/>
                <w:color w:val="auto"/>
              </w:rPr>
              <w:t>(5,649)</w:t>
            </w: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3"/>
        </w:trPr>
        <w:tc>
          <w:tcPr>
            <w:tcW w:w="296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w:t>
            </w: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114</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2960" w:type="dxa"/>
            <w:vAlign w:val="bottom"/>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12,551</w:t>
            </w:r>
          </w:p>
        </w:tc>
        <w:tc>
          <w:tcPr>
            <w:tcW w:w="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17,508</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32,050</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36,586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The last two of these campus closures were completed in the second quarter of 2014. In April 2014, KHE announced plans to close two additional ground campuses, and in July 2014, KHE announced plans to close another three campuses; KHE will teach out the current students and the campus closures will be completed by the end of 2015. In July 2014, KHE also announced plans to further reduce its workforce.</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connection with these and other plans, KHE incurred $2.0 million and $4.5 million in restructuring costs for the third quarter and first nine months of 2014, respectively, and $2.5 million and $14.1 million in restructuring costs in the third quarter and first nine months of 2013, respectively. For the third quarter of 2014, these costs included severance ($1.0 million), accelerated depreciation ($0.9 million) and other items ($0.1 million). For the first nine months of 2014, these costs included severance ($3.0 million), accelerated depreciation ($1.2 million), lease obligation losses ($ 0.1 million) and other items ($0.2 million). For the third quarter of 2013, these costs included accelerated depreciation ($0.8 million), severance ($1.6 million) and lease obligation losses ($0.1 million). For the first nine months of 2013, these costs included accelerated depreciation ($5.8 million), severance ($3.0 million), lease obligation losses ($4.4 million) and other items ($0.9 million).</w:t>
      </w:r>
    </w:p>
    <w:p>
      <w:pPr>
        <w:spacing w:after="0" w:line="139"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In the third quarter and first nine months of 2014, KHE revenue declined 6% and 7%, respectively, due largely to declines in average enrollments at Kaplan University and KHE campuses that reflect weaker market demand over the past year, lower average tuition and the impact of closed campuses. The weaker market demand was most pronounced at KHE's ground campuses in non-degree vocational programs. KHE operating income declined in the third quarter and first nine months of 2014 due largely to revenue declines. Expense reductions associated with lower enrollments and recent restructuring efforts were partially offset by increased marketing spending at Kaplan University.</w:t>
      </w:r>
    </w:p>
    <w:p>
      <w:pPr>
        <w:spacing w:after="0" w:line="137" w:lineRule="exact"/>
        <w:rPr>
          <w:sz w:val="20"/>
          <w:szCs w:val="20"/>
          <w:color w:val="auto"/>
        </w:rPr>
      </w:pPr>
    </w:p>
    <w:p>
      <w:pPr>
        <w:ind w:right="780"/>
        <w:spacing w:after="0" w:line="235" w:lineRule="auto"/>
        <w:rPr>
          <w:sz w:val="20"/>
          <w:szCs w:val="20"/>
          <w:color w:val="auto"/>
        </w:rPr>
      </w:pPr>
      <w:r>
        <w:rPr>
          <w:rFonts w:ascii="Arial" w:cs="Arial" w:eastAsia="Arial" w:hAnsi="Arial"/>
          <w:sz w:val="18"/>
          <w:szCs w:val="18"/>
          <w:color w:val="auto"/>
        </w:rPr>
        <w:t>New student enrollments at KHE declined 11% in the third quarter of 2014 due to lower demand across KHE and the impact of closed campuses. New student enrollments decreased 1% for the first nine months of 2014 due to declines at KHE campuses.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8" w:right="239" w:bottom="1440" w:gutter="0" w:footer="0" w:header="0"/>
        </w:sectPr>
      </w:pPr>
    </w:p>
    <w:bookmarkStart w:id="26" w:name="page27"/>
    <w:bookmarkEnd w:id="26"/>
    <w:p>
      <w:pPr>
        <w:ind w:right="40"/>
        <w:spacing w:after="0" w:line="229" w:lineRule="auto"/>
        <w:rPr>
          <w:sz w:val="20"/>
          <w:szCs w:val="20"/>
          <w:color w:val="auto"/>
        </w:rPr>
      </w:pPr>
      <w:r>
        <w:rPr>
          <w:rFonts w:ascii="Arial" w:cs="Arial" w:eastAsia="Arial" w:hAnsi="Arial"/>
          <w:sz w:val="18"/>
          <w:szCs w:val="18"/>
          <w:color w:val="auto"/>
        </w:rPr>
        <w:t>Total students at September 30, 2014, were down 5% compared to September 30, 2013, and increased 1% compared to June 30, 2014. Excluding campuses closed or planned for closure, total students at September 30, 2014, were down 3% compared to September 30, 2013 but up 3% compared to June 30, 2014. A summary of student enrollments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Excluding Campuses Closing</w:t>
            </w:r>
          </w:p>
        </w:tc>
      </w:tr>
      <w:tr>
        <w:trPr>
          <w:trHeight w:val="250"/>
        </w:trPr>
        <w:tc>
          <w:tcPr>
            <w:tcW w:w="2640" w:type="dxa"/>
            <w:vAlign w:val="bottom"/>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As of</w:t>
            </w:r>
          </w:p>
        </w:tc>
        <w:tc>
          <w:tcPr>
            <w:tcW w:w="1360" w:type="dxa"/>
            <w:vAlign w:val="bottom"/>
            <w:tcBorders>
              <w:bottom w:val="single" w:sz="8" w:color="auto"/>
            </w:tcBorders>
          </w:tcPr>
          <w:p>
            <w:pPr>
              <w:spacing w:after="0"/>
              <w:rPr>
                <w:sz w:val="21"/>
                <w:szCs w:val="21"/>
                <w:color w:val="auto"/>
              </w:rPr>
            </w:pPr>
          </w:p>
        </w:tc>
      </w:tr>
      <w:tr>
        <w:trPr>
          <w:trHeight w:val="310"/>
        </w:trPr>
        <w:tc>
          <w:tcPr>
            <w:tcW w:w="2640" w:type="dxa"/>
            <w:vAlign w:val="bottom"/>
          </w:tcPr>
          <w:p>
            <w:pPr>
              <w:spacing w:after="0"/>
              <w:rPr>
                <w:sz w:val="24"/>
                <w:szCs w:val="24"/>
                <w:color w:val="auto"/>
              </w:rPr>
            </w:pPr>
          </w:p>
        </w:tc>
        <w:tc>
          <w:tcPr>
            <w:tcW w:w="1580" w:type="dxa"/>
            <w:vAlign w:val="bottom"/>
          </w:tcPr>
          <w:p>
            <w:pPr>
              <w:jc w:val="right"/>
              <w:ind w:right="343"/>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jc w:val="right"/>
              <w:ind w:right="463"/>
              <w:spacing w:after="0"/>
              <w:rPr>
                <w:sz w:val="20"/>
                <w:szCs w:val="20"/>
                <w:color w:val="auto"/>
              </w:rPr>
            </w:pPr>
            <w:r>
              <w:rPr>
                <w:rFonts w:ascii="Arial" w:cs="Arial" w:eastAsia="Arial" w:hAnsi="Arial"/>
                <w:sz w:val="14"/>
                <w:szCs w:val="14"/>
                <w:color w:val="auto"/>
              </w:rPr>
              <w:t>June 30,</w:t>
            </w:r>
          </w:p>
        </w:tc>
        <w:tc>
          <w:tcPr>
            <w:tcW w:w="1520" w:type="dxa"/>
            <w:vAlign w:val="bottom"/>
            <w:gridSpan w:val="2"/>
          </w:tcPr>
          <w:p>
            <w:pPr>
              <w:ind w:left="220"/>
              <w:spacing w:after="0"/>
              <w:rPr>
                <w:sz w:val="20"/>
                <w:szCs w:val="20"/>
                <w:color w:val="auto"/>
              </w:rPr>
            </w:pPr>
            <w:r>
              <w:rPr>
                <w:rFonts w:ascii="Arial" w:cs="Arial" w:eastAsia="Arial" w:hAnsi="Arial"/>
                <w:sz w:val="14"/>
                <w:szCs w:val="14"/>
                <w:color w:val="auto"/>
              </w:rPr>
              <w:t>September 30,</w:t>
            </w:r>
          </w:p>
        </w:tc>
        <w:tc>
          <w:tcPr>
            <w:tcW w:w="1560" w:type="dxa"/>
            <w:vAlign w:val="bottom"/>
          </w:tcPr>
          <w:p>
            <w:pPr>
              <w:jc w:val="right"/>
              <w:ind w:right="323"/>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Pr>
          <w:p>
            <w:pPr>
              <w:jc w:val="right"/>
              <w:ind w:right="443"/>
              <w:spacing w:after="0"/>
              <w:rPr>
                <w:sz w:val="20"/>
                <w:szCs w:val="20"/>
                <w:color w:val="auto"/>
              </w:rPr>
            </w:pPr>
            <w:r>
              <w:rPr>
                <w:rFonts w:ascii="Arial" w:cs="Arial" w:eastAsia="Arial" w:hAnsi="Arial"/>
                <w:sz w:val="14"/>
                <w:szCs w:val="14"/>
                <w:color w:val="auto"/>
              </w:rPr>
              <w:t>June 30,</w:t>
            </w:r>
          </w:p>
        </w:tc>
        <w:tc>
          <w:tcPr>
            <w:tcW w:w="1360" w:type="dxa"/>
            <w:vAlign w:val="bottom"/>
          </w:tcPr>
          <w:p>
            <w:pPr>
              <w:jc w:val="right"/>
              <w:ind w:right="143"/>
              <w:spacing w:after="0"/>
              <w:rPr>
                <w:sz w:val="20"/>
                <w:szCs w:val="20"/>
                <w:color w:val="auto"/>
              </w:rPr>
            </w:pPr>
            <w:r>
              <w:rPr>
                <w:rFonts w:ascii="Arial" w:cs="Arial" w:eastAsia="Arial" w:hAnsi="Arial"/>
                <w:sz w:val="14"/>
                <w:szCs w:val="14"/>
                <w:color w:val="auto"/>
              </w:rPr>
              <w:t>September 30,</w:t>
            </w:r>
          </w:p>
        </w:tc>
      </w:tr>
      <w:tr>
        <w:trPr>
          <w:trHeight w:val="196"/>
        </w:trPr>
        <w:tc>
          <w:tcPr>
            <w:tcW w:w="26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2014</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7"/>
                <w:szCs w:val="17"/>
                <w:color w:val="auto"/>
              </w:rPr>
            </w:pPr>
          </w:p>
        </w:tc>
        <w:tc>
          <w:tcPr>
            <w:tcW w:w="156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2014</w:t>
            </w:r>
          </w:p>
        </w:tc>
        <w:tc>
          <w:tcPr>
            <w:tcW w:w="13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2013</w:t>
            </w:r>
          </w:p>
        </w:tc>
      </w:tr>
      <w:tr>
        <w:trPr>
          <w:trHeight w:val="250"/>
        </w:trPr>
        <w:tc>
          <w:tcPr>
            <w:tcW w:w="264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580" w:type="dxa"/>
            <w:vAlign w:val="bottom"/>
          </w:tcPr>
          <w:p>
            <w:pPr>
              <w:jc w:val="right"/>
              <w:ind w:right="243"/>
              <w:spacing w:after="0"/>
              <w:rPr>
                <w:sz w:val="20"/>
                <w:szCs w:val="20"/>
                <w:color w:val="auto"/>
              </w:rPr>
            </w:pPr>
            <w:r>
              <w:rPr>
                <w:rFonts w:ascii="Arial" w:cs="Arial" w:eastAsia="Arial" w:hAnsi="Arial"/>
                <w:sz w:val="16"/>
                <w:szCs w:val="16"/>
                <w:b w:val="1"/>
                <w:bCs w:val="1"/>
                <w:color w:val="auto"/>
              </w:rPr>
              <w:t>46,342</w:t>
            </w:r>
          </w:p>
        </w:tc>
        <w:tc>
          <w:tcPr>
            <w:tcW w:w="1400" w:type="dxa"/>
            <w:vAlign w:val="bottom"/>
          </w:tcPr>
          <w:p>
            <w:pPr>
              <w:jc w:val="right"/>
              <w:ind w:right="143"/>
              <w:spacing w:after="0"/>
              <w:rPr>
                <w:sz w:val="20"/>
                <w:szCs w:val="20"/>
                <w:color w:val="auto"/>
              </w:rPr>
            </w:pPr>
            <w:r>
              <w:rPr>
                <w:rFonts w:ascii="Arial" w:cs="Arial" w:eastAsia="Arial" w:hAnsi="Arial"/>
                <w:sz w:val="16"/>
                <w:szCs w:val="16"/>
                <w:color w:val="auto"/>
              </w:rPr>
              <w:t>44,515</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46,340</w:t>
            </w:r>
          </w:p>
        </w:tc>
        <w:tc>
          <w:tcPr>
            <w:tcW w:w="120" w:type="dxa"/>
            <w:vAlign w:val="bottom"/>
          </w:tcPr>
          <w:p>
            <w:pPr>
              <w:spacing w:after="0"/>
              <w:rPr>
                <w:sz w:val="21"/>
                <w:szCs w:val="21"/>
                <w:color w:val="auto"/>
              </w:rPr>
            </w:pPr>
          </w:p>
        </w:tc>
        <w:tc>
          <w:tcPr>
            <w:tcW w:w="1560" w:type="dxa"/>
            <w:vAlign w:val="bottom"/>
          </w:tcPr>
          <w:p>
            <w:pPr>
              <w:jc w:val="right"/>
              <w:ind w:right="223"/>
              <w:spacing w:after="0"/>
              <w:rPr>
                <w:sz w:val="20"/>
                <w:szCs w:val="20"/>
                <w:color w:val="auto"/>
              </w:rPr>
            </w:pPr>
            <w:r>
              <w:rPr>
                <w:rFonts w:ascii="Arial" w:cs="Arial" w:eastAsia="Arial" w:hAnsi="Arial"/>
                <w:sz w:val="16"/>
                <w:szCs w:val="16"/>
                <w:b w:val="1"/>
                <w:bCs w:val="1"/>
                <w:color w:val="auto"/>
              </w:rPr>
              <w:t>46,342</w:t>
            </w:r>
          </w:p>
        </w:tc>
        <w:tc>
          <w:tcPr>
            <w:tcW w:w="1360" w:type="dxa"/>
            <w:vAlign w:val="bottom"/>
          </w:tcPr>
          <w:p>
            <w:pPr>
              <w:jc w:val="right"/>
              <w:ind w:right="123"/>
              <w:spacing w:after="0"/>
              <w:rPr>
                <w:sz w:val="20"/>
                <w:szCs w:val="20"/>
                <w:color w:val="auto"/>
              </w:rPr>
            </w:pPr>
            <w:r>
              <w:rPr>
                <w:rFonts w:ascii="Arial" w:cs="Arial" w:eastAsia="Arial" w:hAnsi="Arial"/>
                <w:sz w:val="16"/>
                <w:szCs w:val="16"/>
                <w:color w:val="auto"/>
              </w:rPr>
              <w:t>44,515</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46,340</w:t>
            </w:r>
          </w:p>
        </w:tc>
      </w:tr>
      <w:tr>
        <w:trPr>
          <w:trHeight w:val="283"/>
        </w:trPr>
        <w:tc>
          <w:tcPr>
            <w:tcW w:w="264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5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15,570</w:t>
            </w:r>
          </w:p>
        </w:tc>
        <w:tc>
          <w:tcPr>
            <w:tcW w:w="14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16,508</w:t>
            </w: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18,818</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15,139</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15,221</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17,036</w:t>
            </w:r>
          </w:p>
        </w:tc>
      </w:tr>
      <w:tr>
        <w:trPr>
          <w:trHeight w:val="264"/>
        </w:trPr>
        <w:tc>
          <w:tcPr>
            <w:tcW w:w="2640" w:type="dxa"/>
            <w:vAlign w:val="bottom"/>
          </w:tcPr>
          <w:p>
            <w:pPr>
              <w:spacing w:after="0"/>
              <w:rPr>
                <w:sz w:val="22"/>
                <w:szCs w:val="22"/>
                <w:color w:val="auto"/>
              </w:rPr>
            </w:pPr>
          </w:p>
        </w:tc>
        <w:tc>
          <w:tcPr>
            <w:tcW w:w="15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61,912</w:t>
            </w:r>
          </w:p>
        </w:tc>
        <w:tc>
          <w:tcPr>
            <w:tcW w:w="140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61,023</w:t>
            </w: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65,158</w:t>
            </w: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61,481</w:t>
            </w: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59,736</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63,376</w:t>
            </w:r>
          </w:p>
        </w:tc>
      </w:tr>
      <w:tr>
        <w:trPr>
          <w:trHeight w:val="20"/>
        </w:trPr>
        <w:tc>
          <w:tcPr>
            <w:tcW w:w="2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at September 30, 2014 and 2013, by degree and certificate programs,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18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8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2013</w:t>
            </w:r>
          </w:p>
        </w:tc>
      </w:tr>
      <w:tr>
        <w:trPr>
          <w:trHeight w:val="250"/>
        </w:trPr>
        <w:tc>
          <w:tcPr>
            <w:tcW w:w="824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880" w:type="dxa"/>
            <w:vAlign w:val="bottom"/>
          </w:tcPr>
          <w:p>
            <w:pPr>
              <w:jc w:val="right"/>
              <w:ind w:right="302"/>
              <w:spacing w:after="0"/>
              <w:rPr>
                <w:sz w:val="20"/>
                <w:szCs w:val="20"/>
                <w:color w:val="auto"/>
              </w:rPr>
            </w:pPr>
            <w:r>
              <w:rPr>
                <w:rFonts w:ascii="Arial" w:cs="Arial" w:eastAsia="Arial" w:hAnsi="Arial"/>
                <w:sz w:val="16"/>
                <w:szCs w:val="16"/>
                <w:b w:val="1"/>
                <w:bCs w:val="1"/>
                <w:color w:val="auto"/>
              </w:rPr>
              <w:t>20.9%</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880" w:type="dxa"/>
            <w:vAlign w:val="bottom"/>
          </w:tcPr>
          <w:p>
            <w:pPr>
              <w:jc w:val="right"/>
              <w:ind w:right="302"/>
              <w:spacing w:after="0"/>
              <w:rPr>
                <w:sz w:val="20"/>
                <w:szCs w:val="20"/>
                <w:color w:val="auto"/>
              </w:rPr>
            </w:pPr>
            <w:r>
              <w:rPr>
                <w:rFonts w:ascii="Arial" w:cs="Arial" w:eastAsia="Arial" w:hAnsi="Arial"/>
                <w:sz w:val="16"/>
                <w:szCs w:val="16"/>
                <w:b w:val="1"/>
                <w:bCs w:val="1"/>
                <w:color w:val="auto"/>
              </w:rPr>
              <w:t>28.8%</w:t>
            </w:r>
          </w:p>
        </w:tc>
        <w:tc>
          <w:tcPr>
            <w:tcW w:w="130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70"/>
        </w:trPr>
        <w:tc>
          <w:tcPr>
            <w:tcW w:w="824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880" w:type="dxa"/>
            <w:vAlign w:val="bottom"/>
          </w:tcPr>
          <w:p>
            <w:pPr>
              <w:jc w:val="right"/>
              <w:ind w:right="302"/>
              <w:spacing w:after="0"/>
              <w:rPr>
                <w:sz w:val="20"/>
                <w:szCs w:val="20"/>
                <w:color w:val="auto"/>
              </w:rPr>
            </w:pPr>
            <w:r>
              <w:rPr>
                <w:rFonts w:ascii="Arial" w:cs="Arial" w:eastAsia="Arial" w:hAnsi="Arial"/>
                <w:sz w:val="16"/>
                <w:szCs w:val="16"/>
                <w:b w:val="1"/>
                <w:bCs w:val="1"/>
                <w:color w:val="auto"/>
              </w:rPr>
              <w:t>33.4%</w:t>
            </w:r>
          </w:p>
        </w:tc>
        <w:tc>
          <w:tcPr>
            <w:tcW w:w="13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83"/>
        </w:trPr>
        <w:tc>
          <w:tcPr>
            <w:tcW w:w="8240" w:type="dxa"/>
            <w:vAlign w:val="bottom"/>
          </w:tcPr>
          <w:p>
            <w:pPr>
              <w:ind w:left="40"/>
              <w:spacing w:after="0"/>
              <w:rPr>
                <w:sz w:val="20"/>
                <w:szCs w:val="20"/>
                <w:color w:val="auto"/>
              </w:rPr>
            </w:pPr>
            <w:r>
              <w:rPr>
                <w:rFonts w:ascii="Arial" w:cs="Arial" w:eastAsia="Arial" w:hAnsi="Arial"/>
                <w:sz w:val="16"/>
                <w:szCs w:val="16"/>
                <w:color w:val="auto"/>
              </w:rPr>
              <w:t>Master’s</w:t>
            </w:r>
          </w:p>
        </w:tc>
        <w:tc>
          <w:tcPr>
            <w:tcW w:w="1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16.9%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r>
      <w:tr>
        <w:trPr>
          <w:trHeight w:val="264"/>
        </w:trPr>
        <w:tc>
          <w:tcPr>
            <w:tcW w:w="8240" w:type="dxa"/>
            <w:vAlign w:val="bottom"/>
          </w:tcPr>
          <w:p>
            <w:pPr>
              <w:spacing w:after="0"/>
              <w:rPr>
                <w:sz w:val="22"/>
                <w:szCs w:val="22"/>
                <w:color w:val="auto"/>
              </w:rPr>
            </w:pPr>
          </w:p>
        </w:tc>
        <w:tc>
          <w:tcPr>
            <w:tcW w:w="18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82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Kaplan Test Preparation (KTP) includes Kaplan’s standardized test preparation programs. KTP revenue increased 10% and 1% for the third quarter and first nine months of 2014, respectively. Excluding revenues from acquired businesses, KTP revenue increased 6% in the third quarter of 2014 and declined 1% for the first nine months of 2014. Enrollment increased 5% and 3% for the third quarter and first nine months of 2014, respectively, due to growth in health and bar review programs, offset by declines in graduate and pre-college programs. KTP recorded a $7.7 million software asset write-off in the second quarter of 2014, as a decision was made to consolidate certain learning management systems. KTP operating results increased in the third quarter of 2014 due to revenue growth, but declined in the first nine months of 2014 due to the software asset write-off and an increase in program length for MCAT courses that extends revenue recognition periods.</w:t>
      </w:r>
    </w:p>
    <w:p>
      <w:pPr>
        <w:spacing w:after="0" w:line="13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5% and 9% in the third quarter and first nine months of 2014, respectively, due to enrollment growth in the pathways programs, English-language and Singapore higher education programs. Kaplan International operating income improved in the third quarter and first nine months of 2014 due primarily to improved results from operations in Australia and Singapore. In the third quarter and first nine months of 2013, restructuring costs in Australia totaled $1.5 million and $4.1 million, respectively, largely made up of severance costs.</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Corporate expense increased in the first nine months of 2014 due to higher compensation expense and costs associated with new business development activities.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Kaplan continues to evaluate its cost structure and is pursuing additional cost savings opportunities, including eliminating excess office capacity and possible additional school closings. This will likely result in additional restructuring plans and related costs in 2014 and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Cable division revenue declined 3% in the third quarter of 2014 to $195.7 million, from $202.4 million for the third quarter of 2013, due to 3% fewer customers and 7% fewer Primary Service Units (PSUs). For the first nine months of 2014, revenue of $600.4 million was down 1% from $607.1 million in the prior year. Operating expenses in the third quarter declined 4%, from $162.7 million to $155.6 million, due to fewer customers and significantly reduced programming costs. Operating expenses declined 3% in the first nine months of 2014 to $472.4 million. Cable division operating income grew 1% in the third quarter of 2014 to $ 40.1 million, from $39.7 million in the third quarter of 2013; for the first nine months of 2014, operating income increased 6% to $128.0 million, from $121.0 million in the first nine months of 2013.</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cable division continues its focus on higher margin businesses, namely high-speed data and business sales. High-speed data revenue increased 5% in the third quarter of 2014 on a 4% customer gain and business sales increased 19% on a 17% increase in commercial high-speed data customers. Overall, business sales comprised 9.4% of total revenue for the first nine months of 2014, compared with 7.8% of total revenue for the first nine months of 2013. Due to rapidly rising programming costs and shrinking margins, video sales now have less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7" w:name="page28"/>
    <w:bookmarkEnd w:id="27"/>
    <w:p>
      <w:pPr>
        <w:ind w:right="380"/>
        <w:spacing w:after="0" w:line="235" w:lineRule="auto"/>
        <w:rPr>
          <w:sz w:val="20"/>
          <w:szCs w:val="20"/>
          <w:color w:val="auto"/>
        </w:rPr>
      </w:pPr>
      <w:r>
        <w:rPr>
          <w:rFonts w:ascii="Arial" w:cs="Arial" w:eastAsia="Arial" w:hAnsi="Arial"/>
          <w:sz w:val="18"/>
          <w:szCs w:val="18"/>
          <w:color w:val="auto"/>
        </w:rPr>
        <w:t>and emphasis (subscribers down 15% over the third quarter of last year) and programming costs have been reduced significantly. Effective April 1, 2014, the cable division elected not to renew its contract for 15 Viacom networks for a six-year term.</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cable division also continues its focus on higher lifetime value customers who are less attracted by discounting, require less support and churn less. As a result, operating income margins have increased to 20.5% in the third quarter from 19.6% last year.</w:t>
      </w:r>
    </w:p>
    <w:p>
      <w:pPr>
        <w:spacing w:after="0" w:line="14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PSUs include about 6,100 subscribers who receive free basic cable service, primarily local governments, schools, and other organizations as required by various franchise agreements. A summary of PSUs and total customers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0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As of September 30</w:t>
            </w:r>
          </w:p>
        </w:tc>
      </w:tr>
      <w:tr>
        <w:trPr>
          <w:trHeight w:val="264"/>
        </w:trPr>
        <w:tc>
          <w:tcPr>
            <w:tcW w:w="83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b w:val="1"/>
                <w:bCs w:val="1"/>
                <w:color w:val="auto"/>
              </w:rPr>
              <w:t>2014</w:t>
            </w: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2013</w:t>
            </w:r>
          </w:p>
        </w:tc>
      </w:tr>
      <w:tr>
        <w:trPr>
          <w:trHeight w:val="250"/>
        </w:trPr>
        <w:tc>
          <w:tcPr>
            <w:tcW w:w="8340" w:type="dxa"/>
            <w:vAlign w:val="bottom"/>
          </w:tcPr>
          <w:p>
            <w:pPr>
              <w:ind w:left="40"/>
              <w:spacing w:after="0"/>
              <w:rPr>
                <w:sz w:val="20"/>
                <w:szCs w:val="20"/>
                <w:color w:val="auto"/>
              </w:rPr>
            </w:pPr>
            <w:r>
              <w:rPr>
                <w:rFonts w:ascii="Arial" w:cs="Arial" w:eastAsia="Arial" w:hAnsi="Arial"/>
                <w:sz w:val="16"/>
                <w:szCs w:val="16"/>
                <w:color w:val="auto"/>
              </w:rPr>
              <w:t>Video</w:t>
            </w:r>
          </w:p>
        </w:tc>
        <w:tc>
          <w:tcPr>
            <w:tcW w:w="1780" w:type="dxa"/>
            <w:vAlign w:val="bottom"/>
          </w:tcPr>
          <w:p>
            <w:pPr>
              <w:jc w:val="right"/>
              <w:ind w:right="322"/>
              <w:spacing w:after="0"/>
              <w:rPr>
                <w:sz w:val="20"/>
                <w:szCs w:val="20"/>
                <w:color w:val="auto"/>
              </w:rPr>
            </w:pPr>
            <w:r>
              <w:rPr>
                <w:rFonts w:ascii="Arial" w:cs="Arial" w:eastAsia="Arial" w:hAnsi="Arial"/>
                <w:sz w:val="16"/>
                <w:szCs w:val="16"/>
                <w:b w:val="1"/>
                <w:bCs w:val="1"/>
                <w:color w:val="auto"/>
              </w:rPr>
              <w:t>476,233</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561,119</w:t>
            </w: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780" w:type="dxa"/>
            <w:vAlign w:val="bottom"/>
          </w:tcPr>
          <w:p>
            <w:pPr>
              <w:jc w:val="right"/>
              <w:ind w:right="322"/>
              <w:spacing w:after="0"/>
              <w:rPr>
                <w:sz w:val="20"/>
                <w:szCs w:val="20"/>
                <w:color w:val="auto"/>
              </w:rPr>
            </w:pPr>
            <w:r>
              <w:rPr>
                <w:rFonts w:ascii="Arial" w:cs="Arial" w:eastAsia="Arial" w:hAnsi="Arial"/>
                <w:sz w:val="16"/>
                <w:szCs w:val="16"/>
                <w:b w:val="1"/>
                <w:bCs w:val="1"/>
                <w:color w:val="auto"/>
              </w:rPr>
              <w:t>486,142</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469,296</w:t>
            </w:r>
          </w:p>
        </w:tc>
      </w:tr>
      <w:tr>
        <w:trPr>
          <w:trHeight w:val="283"/>
        </w:trPr>
        <w:tc>
          <w:tcPr>
            <w:tcW w:w="834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7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164,917</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182,643</w:t>
            </w:r>
          </w:p>
        </w:tc>
      </w:tr>
      <w:tr>
        <w:trPr>
          <w:trHeight w:val="26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Primary Service Units (PSUs)</w:t>
            </w:r>
          </w:p>
        </w:tc>
        <w:tc>
          <w:tcPr>
            <w:tcW w:w="17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1,127,292</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1,213,058</w:t>
            </w:r>
          </w:p>
        </w:tc>
      </w:tr>
      <w:tr>
        <w:trPr>
          <w:trHeight w:val="20"/>
        </w:trPr>
        <w:tc>
          <w:tcPr>
            <w:tcW w:w="8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Total Customers</w:t>
            </w:r>
          </w:p>
        </w:tc>
        <w:tc>
          <w:tcPr>
            <w:tcW w:w="17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694,236</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712,424</w:t>
            </w:r>
          </w:p>
        </w:tc>
      </w:tr>
      <w:tr>
        <w:trPr>
          <w:trHeight w:val="20"/>
        </w:trPr>
        <w:tc>
          <w:tcPr>
            <w:tcW w:w="8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In July 2014, the cable division sold wireless spectrum licenses for $99 million; a pre-tax gain of $75.2 million was reported in the third quarter of 2014 in connection with these sales. The licenses had been purchased in the 2006 AWS Auction.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Revenue at the television broadcasting division increased 19% to $87.4 million in the third quarter of 2014, from $73.5 million in the same period of 2013; operating income for the third quarter of 2014 was up 37% to $45.0 million, from $32.8 million in the same period of 2013. The increase in revenue and operating income is due to a $9.5 million increase in political advertising revenue and $4.7 million in increased retransmission revenues.</w:t>
      </w:r>
    </w:p>
    <w:p>
      <w:pPr>
        <w:spacing w:after="0" w:line="1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first nine months of 2014, revenue increased 17% to $261.4 million, from $222.6 million in the same period of 2013; operating income for the first nine months of 2014 increased 32% to $133.5 million, from $101.2 million in the same period of 2013. The increase in revenue and operating income is due to a $16.4 million increase in political advertising revenue, $9.5 million in incremental winter Olympics-related advertising revenue at the Company’s NBC affiliates and $14.0 million in increased retransmission revenues.</w:t>
      </w:r>
    </w:p>
    <w:p>
      <w:pPr>
        <w:spacing w:after="0" w:line="137"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As a result of the Berkshire exchange transaction discussed above, the television broadcasting operating results exclude WPLG, the Company’s Miami-based television station, which has been reclassified to discontinued operations for all periods presented.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Other businesses includes the operating results of The Slate Group and Foreign Policy Group, which publish online and print magazines and websites; SocialCode, a marketing solutions provider helping companies with marketing on social-media platforms; Celtic Healthcare, a provider of home health and hospice services; Forney, a global supplier of products and systems that control and monitor combustion processes in electric utility and industrial applications, acquired by the Company in August 2013; and Trove, a digital innovation team that builds products and technologies in the news space.</w:t>
      </w:r>
    </w:p>
    <w:p>
      <w:pPr>
        <w:spacing w:after="0" w:line="137"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In April 2014, Celtic Healthcare acquired the assets of VNA-TIP Healthcare of Bridgeton, MO. This acquisition has expanded Celtic's home health and hospice service areas from Pennsylvania and Maryland to the Missouri and Illinois regions. The operating results of VNA-TIP are included in Other Businesses from the date of acquisition in the second quarter of 2014.</w:t>
      </w:r>
    </w:p>
    <w:p>
      <w:pPr>
        <w:spacing w:after="0" w:line="137"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On May 30, 2014, the Company acquired Joyce/Dayton Corp., a Dayton, OH-based manufacturer of screw jacks and other linear motion systems. The operating results of Joyce/Dayton are included in Other Businesses from the date of acquisition in the second quarter of 2014.</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On July 3, 2014, the Company acquired a majority interest in Residential Healthcare Group, Inc. (Residential), the parent company of Residential Home Health and Residential Hospice, leading providers of skilled home health care and hospice services in Michigan and Illinois. The operating results of Residential are included in Other Businesses from the date of acquisition in the third quarter of 2014.</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8" w:name="page29"/>
    <w:bookmarkEnd w:id="28"/>
    <w:p>
      <w:pPr>
        <w:ind w:right="240"/>
        <w:spacing w:after="0" w:line="229" w:lineRule="auto"/>
        <w:rPr>
          <w:sz w:val="20"/>
          <w:szCs w:val="20"/>
          <w:color w:val="auto"/>
        </w:rPr>
      </w:pPr>
      <w:r>
        <w:rPr>
          <w:rFonts w:ascii="Arial" w:cs="Arial" w:eastAsia="Arial" w:hAnsi="Arial"/>
          <w:sz w:val="18"/>
          <w:szCs w:val="18"/>
          <w:color w:val="auto"/>
        </w:rPr>
        <w:t>The increase in revenues for the third quarter and first nine months of 2014 is primarily due to newly acquired businesses in 2014 and 2013. The operating results for the third quarter and first nine months of 2014 were adversely impacted by increased long-term compensation expense at SocialCode.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first quarter of 2014, the corporate office implemented a Separation Incentive Program that resulted in early retirement program expense of $4.5 million, which is being funded from the assets of the Company’s pension plan. In the third quarter of 2014, the acceptance period for the Voluntary Retirement Incentive Program (VRIP) ended. As a result, the Company recorded $10.3 million in early retirement program expense and other related charges in the third quarter of 2014, a portion of which will be funded from the assets of the Company's pension plan. Excluding early retirement program expense, the total pension credit for the Company’s traditional defined benefit plan was $68.0 million and $28.4 million in the first nine months of 2014 and 2013, respectively.</w:t>
      </w:r>
    </w:p>
    <w:p>
      <w:pPr>
        <w:spacing w:after="0" w:line="13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Excluding the pension credit, early retirement program expense and other related charges, corporate office expenses increased in the first nine months of 2014 due primarily to higher compensation costs, expenses related to certain acquisitions and the Berkshire exchange transaction, and incremental costs associated with the corporate office headquarters move to Arlington, Virginia.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ind w:right="500"/>
        <w:spacing w:after="0" w:line="227" w:lineRule="auto"/>
        <w:rPr>
          <w:sz w:val="20"/>
          <w:szCs w:val="20"/>
          <w:color w:val="auto"/>
        </w:rPr>
      </w:pPr>
      <w:r>
        <w:rPr>
          <w:rFonts w:ascii="Arial" w:cs="Arial" w:eastAsia="Arial" w:hAnsi="Arial"/>
          <w:sz w:val="18"/>
          <w:szCs w:val="18"/>
          <w:color w:val="auto"/>
        </w:rPr>
        <w:t>At September 30, 2014, the Company held a 16.5% interest in Classified Ventures, LLC (CV) and interests in several other affiliates. On October 1, 2014, the Company and the remaining partners in CV completed the sale of their entire stakes in CV. Total proceeds to the Company, net of transaction costs, were $ 408.5 million, of which $16.5 million will be held in escrow until October 1, 2015. The Company estimates a pre-tax gain of $393 million in connection with the sale that will be recorded in the fourth quarter of 2014.</w:t>
      </w:r>
    </w:p>
    <w:p>
      <w:pPr>
        <w:spacing w:after="0" w:line="135"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Company’s equity in earnings of affiliates, net, was $4.6 million for the third quarter of 2014, compared to $5.9 million for the third quarter of 2013. For the first nine months of 2014, the Company’s equity in earnings of affiliates, net, totaled $100.2 million, compared to $13.2 million for the same period of 2013.</w:t>
      </w:r>
    </w:p>
    <w:p>
      <w:pPr>
        <w:spacing w:after="0" w:line="137" w:lineRule="exact"/>
        <w:rPr>
          <w:sz w:val="20"/>
          <w:szCs w:val="20"/>
          <w:color w:val="auto"/>
        </w:rPr>
      </w:pPr>
    </w:p>
    <w:p>
      <w:pPr>
        <w:ind w:right="600"/>
        <w:spacing w:after="0" w:line="407" w:lineRule="auto"/>
        <w:rPr>
          <w:sz w:val="20"/>
          <w:szCs w:val="20"/>
          <w:color w:val="auto"/>
        </w:rPr>
      </w:pPr>
      <w:r>
        <w:rPr>
          <w:rFonts w:ascii="Arial" w:cs="Arial" w:eastAsia="Arial" w:hAnsi="Arial"/>
          <w:sz w:val="18"/>
          <w:szCs w:val="18"/>
          <w:color w:val="auto"/>
        </w:rPr>
        <w:t xml:space="preserve">The 2014 results include a pre-tax gain of $90.9 million from Classified Ventures’ sale of apartments.com in the second quarter of 2014. </w:t>
      </w:r>
      <w:r>
        <w:rPr>
          <w:rFonts w:ascii="Arial" w:cs="Arial" w:eastAsia="Arial" w:hAnsi="Arial"/>
          <w:sz w:val="18"/>
          <w:szCs w:val="18"/>
          <w:b w:val="1"/>
          <w:bCs w:val="1"/>
          <w:u w:val="single" w:color="auto"/>
          <w:color w:val="auto"/>
        </w:rPr>
        <w:t>Other Non-Operating Income (Expense)</w:t>
      </w:r>
    </w:p>
    <w:p>
      <w:pPr>
        <w:ind w:right="60"/>
        <w:spacing w:after="0" w:line="225" w:lineRule="auto"/>
        <w:rPr>
          <w:sz w:val="20"/>
          <w:szCs w:val="20"/>
          <w:color w:val="auto"/>
        </w:rPr>
      </w:pPr>
      <w:r>
        <w:rPr>
          <w:rFonts w:ascii="Arial" w:cs="Arial" w:eastAsia="Arial" w:hAnsi="Arial"/>
          <w:sz w:val="18"/>
          <w:szCs w:val="18"/>
          <w:color w:val="auto"/>
        </w:rPr>
        <w:t>The Company recorded total other non-operating income, net, of $64.5 million for the third quarter of 2014, compared to income of $ 8.1 million for the third quarter of 2013. The third quarter 2014 non-operating income, net, included a pre-tax gain of $75.2 million in connection with the Cable division's sale of wireless licenses. Third quarter 2014 non-operating income, net, also included $10.6 million in unrealized foreign currency losses and other items. The third quarter 2013 non-operating expense, net, included $7.9 million in unrealized foreign currency gains and other items.</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Company recorded non-operating income, net, of $465.9 million for the first nine months of 2014, compared to other non-operating expense, net, of $8.8 million for the same period of the prior year. The 2014 amounts included the pre-tax gain of $ 266.7 million in connection with the Company's exchange of Berkshire shares, a pre-tax gain of $127.7 million on the sale of the headquarters building, $75.2 million on the sale of wireless licenses and $ 2.6 million in unrealized foreign currency losses and other items. The 2013 non-operating income, net, included $9.4 million in unrealized foreign currency losses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66"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Company incurred net interest expense of $8.8 million and $24.9 million for the third quarter and first nine months of 2014, respectively, compared to $8.6 million and $25.6 million for the same periods of 2013. At September 30, 2014, the Company had $448.8 million in borrowings outstanding at an average interest rate of 7.0%.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effective tax rate for income from continuing operations for the first nine months of 2014 was 26.7%, compared to 38.6% for the first nine months of 2013. The lower effective tax rate in 2014 largely relates to the Berkshire exchange transaction. The pre-tax gain of $266.7 million related to the disposition of the Berkshire shares was not subject to income tax as the exchange transaction qualifies as a tax-free distribution.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58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 June 30, 2014, the Company and Berkshire Hathaway Inc. completed the Berkshire exchange transaction discussed above. A gain of</w:t>
      </w:r>
    </w:p>
    <w:p>
      <w:pPr>
        <w:jc w:val="both"/>
        <w:ind w:right="80"/>
        <w:spacing w:after="0" w:line="229" w:lineRule="auto"/>
        <w:rPr>
          <w:sz w:val="20"/>
          <w:szCs w:val="20"/>
          <w:color w:val="auto"/>
        </w:rPr>
      </w:pPr>
      <w:r>
        <w:rPr>
          <w:rFonts w:ascii="Arial" w:cs="Arial" w:eastAsia="Arial" w:hAnsi="Arial"/>
          <w:sz w:val="18"/>
          <w:szCs w:val="18"/>
          <w:color w:val="auto"/>
        </w:rPr>
        <w:t>$375.0 million was recorded in discontinued operations in connection with the disposition of WPLG, a Miami-based television station. This gain is not subject to income tax. Also as a result of the exchange transaction, income from continuing operations excludes WPLG, which has been reclassified to discontinued operations, net of tax, for all periods presented.</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third quarter of 2014, Kaplan completed the sale of three of its schools in China that were previously included as part of Kaplan International. An additional school in China is expected to be sold by Kaplan in the fourth quarter of 2014. Income from continuing operations excludes these schools, which have been reclassified to discontinued operations, net of tax, for all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calculation of diluted earnings per share for the third quarter and first nine months of 2014 was based on 5,756,682 and 6,823,248 weighted average shares outstanding, respectively, compared to 7,336,752 and 7,315,971 for the third quarter and first nine months of 2013. At September 30, 2014, there were 5,793,160 shares outstanding and the Company had remaining authorization from the Board of Directors to purchase up to 159,219 shares of Class B common stock. The earnings per share computations for the third quarter and first nine months of 2014 were favorably impacted by the 1,620,190 common shares repurchased as part of the Berkshire exchange transaction.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Higher Education (KHE) Regulatory Matters</w:t>
      </w:r>
    </w:p>
    <w:p>
      <w:pPr>
        <w:spacing w:after="0" w:line="166"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The Department of Education (ED) published new higher education regulations on October 30, 2014, with an effective date of July 1, 2015. Among other things, the new regulations require that each educational program meet certain debt-to-earnings ratios. Programs that fail one of these proposed metrics multiple years in a row would become ineligible for Title IV aid. The new regulations also include revised requirements for program approval, public disclosure on certain outcomes (graduation, placement, repayment rates, and other consumer information) and a “certification” requirement that each program is included in the school’s accreditation grant and has the necessary programmatic level accreditation or approvals to allow graduates to get properly licensed in the occupation related to their field of study if required by the state in which the school is located. The Company is in the process of evaluating the new regulations to assess their impact on Kaplan programs and institutions. Some of the data needed to compute program eligibility under the new regulations are not readily accessible; graduate incomes would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metrics and other factors. As a result, the ultimate outcome of the regulations' impact on Kaplan’s operations is uncertain. The new regulations will likely cause Kaplan to eliminate or limit enrollments in certain educational programs and could have a material adverse impact on KHE revenues, operating income, cash flows and the estimated fair value of the reporting unit.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and Exchanges</w:t>
      </w:r>
    </w:p>
    <w:p>
      <w:pPr>
        <w:spacing w:after="0" w:line="144"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In the first nine months of 2014, the Company acquired seven businesses totaling $204.9 million, comprised of four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in other businesses, two businesses in Kaplan Test Prep, and one business in Kaplan Higher Ed. The purchase price allocation mostly comprised goodwill, other intangible assets, and other current assets on a preliminary basis. In the first nine months of 2013, the Company acquired five small businesses included in other businesses and in its education division; the purchase price allocation mostly comprised goodwill and other intangible assets.</w:t>
      </w:r>
    </w:p>
    <w:p>
      <w:pPr>
        <w:spacing w:after="0" w:line="138" w:lineRule="exact"/>
        <w:rPr>
          <w:sz w:val="20"/>
          <w:szCs w:val="20"/>
          <w:color w:val="auto"/>
        </w:rPr>
      </w:pPr>
    </w:p>
    <w:p>
      <w:pPr>
        <w:ind w:right="200"/>
        <w:spacing w:after="0" w:line="223" w:lineRule="auto"/>
        <w:rPr>
          <w:sz w:val="20"/>
          <w:szCs w:val="20"/>
          <w:color w:val="auto"/>
        </w:rPr>
      </w:pPr>
      <w:r>
        <w:rPr>
          <w:rFonts w:ascii="Arial" w:cs="Arial" w:eastAsia="Arial" w:hAnsi="Arial"/>
          <w:sz w:val="18"/>
          <w:szCs w:val="18"/>
          <w:color w:val="auto"/>
        </w:rPr>
        <w:t>On April 1, 2014, Celtic Healthcare acquired VNA-TIP Healthcare, a provider of home health and hospice services in Missouri and Illinois. On May 30, 2014, the Company completed its acquisition of Joyce/Dayton Corp., a Dayton, OH-based manufacturer of screw jacks and other linear motion systems. On July 3, 2014, the Company completed its acquisition of an 80% interest in Residential Healthcare Group, Inc., the parent company of Residential Home Health and Residential Hospice, leading providers of skilled home health care and hospice services in Michigan and Illinois. The operating results of these businesses are included in other businesses. The fair value of the redeemable noncontrolling interest in Residential Healthcare Group, Inc. was $18.8 million at the acquisition date, determined using a market approach. The minority shareholders have an option to put their shares to the Company starting in 2017, and the Company has an option to buy the shares of some minority shareholders in 2020 and the remaining minority shareholders in 2024.</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78" w:right="239" w:bottom="1440" w:gutter="0" w:footer="0" w:header="0"/>
        </w:sectPr>
      </w:pPr>
    </w:p>
    <w:bookmarkStart w:id="30" w:name="page31"/>
    <w:bookmarkEnd w:id="30"/>
    <w:p>
      <w:pPr>
        <w:ind w:right="220"/>
        <w:spacing w:after="0" w:line="235" w:lineRule="auto"/>
        <w:rPr>
          <w:sz w:val="20"/>
          <w:szCs w:val="20"/>
          <w:color w:val="auto"/>
        </w:rPr>
      </w:pPr>
      <w:r>
        <w:rPr>
          <w:rFonts w:ascii="Arial" w:cs="Arial" w:eastAsia="Arial" w:hAnsi="Arial"/>
          <w:sz w:val="18"/>
          <w:szCs w:val="18"/>
          <w:color w:val="auto"/>
        </w:rPr>
        <w:t>On August 1, 2013, the Company completed its acquisition of Forney Corporation, a global supplier of products and systems that control and monitor combustion processes in electric utility and industrial applications. The operating results of Forney are included in other businesses.</w:t>
      </w:r>
    </w:p>
    <w:p>
      <w:pPr>
        <w:spacing w:after="0" w:line="1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the second quarter of 2013, Kaplan purchased the remaining 15% noncontrolling interest in Kaplan China; this additional interest was accounted for as an equity transaction.</w:t>
      </w:r>
    </w:p>
    <w:p>
      <w:pPr>
        <w:spacing w:after="0" w:line="11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In the third quarter of 2014, Kaplan completed the sale of three of its schools in China that were previously included as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Kaplan International. An additional school is expected to be sold in the fourth quarter of 2014.</w:t>
      </w:r>
    </w:p>
    <w:p>
      <w:pPr>
        <w:spacing w:after="0" w:line="12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completed the sale of certain assets of The Herald, a daily and Sunday newspaper headquartered in Everett, WA.</w:t>
      </w:r>
    </w:p>
    <w:p>
      <w:pPr>
        <w:spacing w:after="0" w:line="12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Exchanges. </w:t>
      </w:r>
      <w:r>
        <w:rPr>
          <w:rFonts w:ascii="Arial" w:cs="Arial" w:eastAsia="Arial" w:hAnsi="Arial"/>
          <w:sz w:val="18"/>
          <w:szCs w:val="18"/>
          <w:color w:val="auto"/>
        </w:rPr>
        <w:t>On June 30, 2014, the Company and Berkshire Hathaway Inc. completed a previously announced transaction in which Berkshire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wholly-owned subsidiary of the Company that included, among other things,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 As a result, income from continuing operations for the second quarter of 2014 includes a $266.7 million gain from the sale of the Berkshire Hathaway shares, and income from discontinued operations for the second quarter of 2014 includes a $375.0 million gain from the WPLG exchange.</w:t>
      </w:r>
    </w:p>
    <w:p>
      <w:pPr>
        <w:spacing w:after="0" w:line="13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Company’s income from continuing operations excludes the businesses described in dispositions and exchanges above, which have been reclassified to discontinued operations, net of tax.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6"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During the first nine months of 2014, the Company’s capital expenditures totaled $162.4 million. The Company estimates that its capital expenditures will be in the range of $235 million to $260 million in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66" w:lineRule="exact"/>
        <w:rPr>
          <w:sz w:val="20"/>
          <w:szCs w:val="20"/>
          <w:color w:val="auto"/>
        </w:rPr>
      </w:pPr>
    </w:p>
    <w:p>
      <w:pPr>
        <w:jc w:val="both"/>
        <w:ind w:right="480"/>
        <w:spacing w:after="0" w:line="229" w:lineRule="auto"/>
        <w:rPr>
          <w:sz w:val="20"/>
          <w:szCs w:val="20"/>
          <w:color w:val="auto"/>
        </w:rPr>
      </w:pPr>
      <w:r>
        <w:rPr>
          <w:rFonts w:ascii="Arial" w:cs="Arial" w:eastAsia="Arial" w:hAnsi="Arial"/>
          <w:sz w:val="18"/>
          <w:szCs w:val="18"/>
          <w:color w:val="auto"/>
        </w:rPr>
        <w:t>At September 30, 2014, the Company had cash and cash equivalents, restricted cash and investments in marketable securities and other investments totaling $ 687.2 million, compared with $1,175.8 million at December 31, 2013. The decrease is from the Berkshire exchange transaction and other investing and financing activities, offset by asset sales and cash flows from operating activities.</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As of September 30, 2014, the Company held investments in commercial paper totaling $ 50.0 million with original maturities of 91 to 180 days. The Company did not have any investments in commercial paper at December 31, 2013. For the nine months of 2014, these investments are presented in the Company's Condensed Consolidated Statements of Cash Flows as net cash used in investing activities.</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Company’s total debt outstanding of $ 448.8 million at September 30, 2014 included $398.2 million of 7.25% unsecured notes due February 1, 2019, $43.7 million of AUD 50 million borrowing and $6.9 million in other debt. The $43.7 million of AUD 50 million is classified as a current liability at September 30, 2014.</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On March 27, 2014, the Company completed the sale of its headquarters building for approximately $158.0 million. On April 1, 2014, the Company received a gross cash distribution of $95.0 million from Classified Ventures' sale of apartments.com.</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On June 30, 2014, the Company and Berkshire Hathaway Inc. completed a previously announced transaction in which Berkshire acquired a wholly-owned subsidiary of the Company that included WPLG, a Miami-based television station, 2,107 Class A Berkshire shares and 1,278 Class B Berkshire shares owned by Graham Holdings and $327.7 million in cash, in exchange for 1,620,190 shares of Graham Holdings Class B common stock owned by Berkshire Hathaway (Berkshire exchange transaction).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July 2014, the cable division sold its wireless spectrum licenses for $99 million.</w:t>
      </w:r>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On October 1, 2014, the Company and the remaining partners completed the sale of their entire stakes in Classified Ventures. Total proceeds to the Company, net of transaction costs, were $408.5 million, of which $16.5 million will</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1" w:name="page32"/>
    <w:bookmarkEnd w:id="31"/>
    <w:p>
      <w:pPr>
        <w:ind w:right="480"/>
        <w:spacing w:after="0" w:line="235" w:lineRule="auto"/>
        <w:rPr>
          <w:sz w:val="20"/>
          <w:szCs w:val="20"/>
          <w:color w:val="auto"/>
        </w:rPr>
      </w:pPr>
      <w:r>
        <w:rPr>
          <w:rFonts w:ascii="Arial" w:cs="Arial" w:eastAsia="Arial" w:hAnsi="Arial"/>
          <w:sz w:val="18"/>
          <w:szCs w:val="18"/>
          <w:color w:val="auto"/>
        </w:rPr>
        <w:t>be held in escrow until October 1, 2015. The Company will record a pre-tax gain of approximately $393 million on the sale of its interest in Classified Ventures in the fourth quarter of 2014.</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September 2013, Standard and Poor’s affirmed the Company's “BBB” long-term corporate debt rating and changed the outlook from Negative to Stable. In addition, S&amp;P upgraded the Company’s short-term corporate debt rating from “A-3” to “A-2”. On March 12, 2014, Moody's placed the Company's senior unsecured rating and its Prime-2 commercial paper rating on review for downgrade. On June 26, 2014, Moody's downgraded the Company's long-term credit ratings by two levels from Baa1 to Baa3 and the short-term rating by one level from Prime-2 to Prime 3 and changed the outlook to stable. The Company’s current credit ratings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40" w:type="dxa"/>
            <w:vAlign w:val="bottom"/>
          </w:tcPr>
          <w:p>
            <w:pPr>
              <w:jc w:val="right"/>
              <w:ind w:right="343"/>
              <w:spacing w:after="0"/>
              <w:rPr>
                <w:sz w:val="20"/>
                <w:szCs w:val="20"/>
                <w:color w:val="auto"/>
              </w:rPr>
            </w:pPr>
            <w:r>
              <w:rPr>
                <w:rFonts w:ascii="Arial" w:cs="Arial" w:eastAsia="Arial" w:hAnsi="Arial"/>
                <w:sz w:val="14"/>
                <w:szCs w:val="14"/>
                <w:b w:val="1"/>
                <w:bCs w:val="1"/>
                <w:color w:val="auto"/>
              </w:rPr>
              <w:t>Standard</w:t>
            </w:r>
          </w:p>
        </w:tc>
      </w:tr>
      <w:tr>
        <w:trPr>
          <w:trHeight w:val="196"/>
        </w:trPr>
        <w:tc>
          <w:tcPr>
            <w:tcW w:w="480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Moody’s</w:t>
            </w:r>
          </w:p>
        </w:tc>
        <w:tc>
          <w:tcPr>
            <w:tcW w:w="13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&amp; Poor’s</w:t>
            </w:r>
          </w:p>
        </w:tc>
      </w:tr>
      <w:tr>
        <w:trPr>
          <w:trHeight w:val="250"/>
        </w:trPr>
        <w:tc>
          <w:tcPr>
            <w:tcW w:w="4800" w:type="dxa"/>
            <w:vAlign w:val="bottom"/>
          </w:tcPr>
          <w:p>
            <w:pPr>
              <w:ind w:left="40"/>
              <w:spacing w:after="0"/>
              <w:rPr>
                <w:sz w:val="20"/>
                <w:szCs w:val="20"/>
                <w:color w:val="auto"/>
              </w:rPr>
            </w:pPr>
            <w:r>
              <w:rPr>
                <w:rFonts w:ascii="Arial" w:cs="Arial" w:eastAsia="Arial" w:hAnsi="Arial"/>
                <w:sz w:val="16"/>
                <w:szCs w:val="16"/>
                <w:color w:val="auto"/>
              </w:rPr>
              <w:t>Long-term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Baa3</w:t>
            </w:r>
          </w:p>
        </w:tc>
        <w:tc>
          <w:tcPr>
            <w:tcW w:w="134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270"/>
        </w:trPr>
        <w:tc>
          <w:tcPr>
            <w:tcW w:w="4800" w:type="dxa"/>
            <w:vAlign w:val="bottom"/>
          </w:tcPr>
          <w:p>
            <w:pPr>
              <w:ind w:left="40"/>
              <w:spacing w:after="0"/>
              <w:rPr>
                <w:sz w:val="20"/>
                <w:szCs w:val="20"/>
                <w:color w:val="auto"/>
              </w:rPr>
            </w:pPr>
            <w:r>
              <w:rPr>
                <w:rFonts w:ascii="Arial" w:cs="Arial" w:eastAsia="Arial" w:hAnsi="Arial"/>
                <w:sz w:val="16"/>
                <w:szCs w:val="16"/>
                <w:color w:val="auto"/>
              </w:rPr>
              <w:t>Short-term</w:t>
            </w:r>
          </w:p>
        </w:tc>
        <w:tc>
          <w:tcPr>
            <w:tcW w:w="5280" w:type="dxa"/>
            <w:vAlign w:val="bottom"/>
          </w:tcPr>
          <w:p>
            <w:pPr>
              <w:jc w:val="right"/>
              <w:ind w:right="202"/>
              <w:spacing w:after="0"/>
              <w:rPr>
                <w:sz w:val="20"/>
                <w:szCs w:val="20"/>
                <w:color w:val="auto"/>
              </w:rPr>
            </w:pPr>
            <w:r>
              <w:rPr>
                <w:rFonts w:ascii="Arial" w:cs="Arial" w:eastAsia="Arial" w:hAnsi="Arial"/>
                <w:sz w:val="16"/>
                <w:szCs w:val="16"/>
                <w:color w:val="auto"/>
              </w:rPr>
              <w:t>Prime-3</w:t>
            </w:r>
          </w:p>
        </w:tc>
        <w:tc>
          <w:tcPr>
            <w:tcW w:w="1340" w:type="dxa"/>
            <w:vAlign w:val="bottom"/>
          </w:tcPr>
          <w:p>
            <w:pPr>
              <w:jc w:val="right"/>
              <w:spacing w:after="0"/>
              <w:rPr>
                <w:sz w:val="20"/>
                <w:szCs w:val="20"/>
                <w:color w:val="auto"/>
              </w:rPr>
            </w:pPr>
            <w:r>
              <w:rPr>
                <w:rFonts w:ascii="Arial" w:cs="Arial" w:eastAsia="Arial" w:hAnsi="Arial"/>
                <w:sz w:val="16"/>
                <w:szCs w:val="16"/>
                <w:color w:val="auto"/>
              </w:rPr>
              <w:t>A-2</w:t>
            </w:r>
          </w:p>
        </w:tc>
      </w:tr>
    </w:tbl>
    <w:p>
      <w:pPr>
        <w:spacing w:after="0" w:line="167" w:lineRule="exact"/>
        <w:rPr>
          <w:sz w:val="20"/>
          <w:szCs w:val="20"/>
          <w:color w:val="auto"/>
        </w:rPr>
      </w:pPr>
    </w:p>
    <w:p>
      <w:pPr>
        <w:ind w:right="380"/>
        <w:spacing w:after="0" w:line="225" w:lineRule="auto"/>
        <w:rPr>
          <w:sz w:val="20"/>
          <w:szCs w:val="20"/>
          <w:color w:val="auto"/>
        </w:rPr>
      </w:pPr>
      <w:r>
        <w:rPr>
          <w:rFonts w:ascii="Arial" w:cs="Arial" w:eastAsia="Arial" w:hAnsi="Arial"/>
          <w:sz w:val="18"/>
          <w:szCs w:val="18"/>
          <w:color w:val="auto"/>
        </w:rPr>
        <w:t>At September 30, 2014 and December 31, 2013, the Company had working capital of $249.6 million and $768.3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borrowings supported by the Company's Credit Agreement. In management’s opinion, the Company will have sufficient liquidity to meet its various cash needs throughout 2014.</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2013 Annual Report filed on Form 10-K have not otherwise changed significantly.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6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30, 2014.</w:t>
      </w:r>
    </w:p>
    <w:p>
      <w:pPr>
        <w:spacing w:after="0" w:line="1"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6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September 30, 2014 that has materially affected, or is reasonably likely to materially affect, the Company’s internal control over financial reporting.</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562"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10500" w:type="dxa"/>
            <w:vAlign w:val="bottom"/>
          </w:tcPr>
          <w:p>
            <w:pPr>
              <w:ind w:left="346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345"/>
        </w:trPr>
        <w:tc>
          <w:tcPr>
            <w:tcW w:w="1142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0" w:type="dxa"/>
            <w:vAlign w:val="bottom"/>
          </w:tcPr>
          <w:p>
            <w:pPr>
              <w:spacing w:after="0"/>
              <w:rPr>
                <w:sz w:val="1"/>
                <w:szCs w:val="1"/>
                <w:color w:val="auto"/>
              </w:rPr>
            </w:pPr>
          </w:p>
        </w:tc>
      </w:tr>
      <w:tr>
        <w:trPr>
          <w:trHeight w:val="303"/>
        </w:trPr>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ind w:left="48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0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920" w:type="dxa"/>
            <w:vAlign w:val="bottom"/>
          </w:tcPr>
          <w:p>
            <w:pPr>
              <w:ind w:left="180"/>
              <w:spacing w:after="0"/>
              <w:rPr>
                <w:sz w:val="20"/>
                <w:szCs w:val="20"/>
                <w:color w:val="auto"/>
              </w:rPr>
            </w:pPr>
            <w:r>
              <w:rPr>
                <w:rFonts w:ascii="Arial" w:cs="Arial" w:eastAsia="Arial" w:hAnsi="Arial"/>
                <w:sz w:val="16"/>
                <w:szCs w:val="16"/>
                <w:color w:val="auto"/>
              </w:rPr>
              <w:t>3.1</w:t>
            </w:r>
          </w:p>
        </w:tc>
        <w:tc>
          <w:tcPr>
            <w:tcW w:w="10500" w:type="dxa"/>
            <w:vAlign w:val="bottom"/>
          </w:tcPr>
          <w:p>
            <w:pPr>
              <w:ind w:left="16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Amendment, effective November 29, 2013, to the Restated Certificate of Incorporation of the Company (incorporated by reference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to Exhibit 3.1 to the Company’s current Report on Form 8-K dated November 29, 2013).</w:t>
            </w:r>
          </w:p>
        </w:tc>
        <w:tc>
          <w:tcPr>
            <w:tcW w:w="0" w:type="dxa"/>
            <w:vAlign w:val="bottom"/>
          </w:tcPr>
          <w:p>
            <w:pPr>
              <w:spacing w:after="0"/>
              <w:rPr>
                <w:sz w:val="1"/>
                <w:szCs w:val="1"/>
                <w:color w:val="auto"/>
              </w:rPr>
            </w:pPr>
          </w:p>
        </w:tc>
      </w:tr>
      <w:tr>
        <w:trPr>
          <w:trHeight w:val="521"/>
        </w:trPr>
        <w:tc>
          <w:tcPr>
            <w:tcW w:w="920" w:type="dxa"/>
            <w:vAlign w:val="bottom"/>
          </w:tcPr>
          <w:p>
            <w:pPr>
              <w:ind w:left="180"/>
              <w:spacing w:after="0"/>
              <w:rPr>
                <w:sz w:val="20"/>
                <w:szCs w:val="20"/>
                <w:color w:val="auto"/>
              </w:rPr>
            </w:pPr>
            <w:r>
              <w:rPr>
                <w:rFonts w:ascii="Arial" w:cs="Arial" w:eastAsia="Arial" w:hAnsi="Arial"/>
                <w:sz w:val="16"/>
                <w:szCs w:val="16"/>
                <w:color w:val="auto"/>
              </w:rPr>
              <w:t>3.3</w:t>
            </w:r>
          </w:p>
        </w:tc>
        <w:tc>
          <w:tcPr>
            <w:tcW w:w="10500" w:type="dxa"/>
            <w:vAlign w:val="bottom"/>
          </w:tcPr>
          <w:p>
            <w:pPr>
              <w:ind w:left="16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3.4</w:t>
            </w:r>
          </w:p>
        </w:tc>
        <w:tc>
          <w:tcPr>
            <w:tcW w:w="10500" w:type="dxa"/>
            <w:vAlign w:val="bottom"/>
          </w:tcPr>
          <w:p>
            <w:pPr>
              <w:ind w:left="160"/>
              <w:spacing w:after="0"/>
              <w:rPr>
                <w:sz w:val="20"/>
                <w:szCs w:val="20"/>
                <w:color w:val="auto"/>
              </w:rPr>
            </w:pPr>
            <w:r>
              <w:rPr>
                <w:rFonts w:ascii="Arial" w:cs="Arial" w:eastAsia="Arial" w:hAnsi="Arial"/>
                <w:sz w:val="16"/>
                <w:szCs w:val="16"/>
                <w:color w:val="auto"/>
              </w:rPr>
              <w:t>By-Laws of the Company as amended and restated through November 29, 2013 (incorporated by reference to Exhibit 3.2 to the Company’s</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Current Report on Form 8-K dated November 29, 2013).</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4.1</w:t>
            </w:r>
          </w:p>
        </w:tc>
        <w:tc>
          <w:tcPr>
            <w:tcW w:w="10500" w:type="dxa"/>
            <w:vAlign w:val="bottom"/>
          </w:tcPr>
          <w:p>
            <w:pPr>
              <w:ind w:left="16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481"/>
        </w:trPr>
        <w:tc>
          <w:tcPr>
            <w:tcW w:w="920" w:type="dxa"/>
            <w:vAlign w:val="bottom"/>
          </w:tcPr>
          <w:p>
            <w:pPr>
              <w:ind w:left="180"/>
              <w:spacing w:after="0"/>
              <w:rPr>
                <w:sz w:val="20"/>
                <w:szCs w:val="20"/>
                <w:color w:val="auto"/>
              </w:rPr>
            </w:pPr>
            <w:r>
              <w:rPr>
                <w:rFonts w:ascii="Arial" w:cs="Arial" w:eastAsia="Arial" w:hAnsi="Arial"/>
                <w:sz w:val="16"/>
                <w:szCs w:val="16"/>
                <w:color w:val="auto"/>
              </w:rPr>
              <w:t>4.2</w:t>
            </w:r>
          </w:p>
        </w:tc>
        <w:tc>
          <w:tcPr>
            <w:tcW w:w="10500" w:type="dxa"/>
            <w:vAlign w:val="bottom"/>
          </w:tcPr>
          <w:p>
            <w:pPr>
              <w:ind w:left="160"/>
              <w:spacing w:after="0"/>
              <w:rPr>
                <w:sz w:val="20"/>
                <w:szCs w:val="20"/>
                <w:color w:val="auto"/>
              </w:rPr>
            </w:pPr>
            <w:r>
              <w:rPr>
                <w:rFonts w:ascii="Arial" w:cs="Arial" w:eastAsia="Arial" w:hAnsi="Arial"/>
                <w:sz w:val="16"/>
                <w:szCs w:val="16"/>
                <w:color w:val="auto"/>
              </w:rPr>
              <w:t>Four Year Credit Agreement, dated as of June 17, 2011, among the Company, JPMorgan Chase Bank, N.A., J.P. Morgan Australia Limited,</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Wells Fargo Bank, N.A., The Royal Bank of Scotland PLC, HSBC Bank USA, National Association, The Bank of New York Mellon, PNC Bank,</w:t>
            </w: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National Association, Bank of America, N.A., Citibank, N.A. and The Northern Trust Company (incorporated by reference to Exhibit 10.1 to the</w:t>
            </w: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10500" w:type="dxa"/>
            <w:vAlign w:val="bottom"/>
          </w:tcPr>
          <w:p>
            <w:pPr>
              <w:ind w:left="160"/>
              <w:spacing w:after="0"/>
              <w:rPr>
                <w:sz w:val="20"/>
                <w:szCs w:val="20"/>
                <w:color w:val="auto"/>
              </w:rPr>
            </w:pPr>
            <w:r>
              <w:rPr>
                <w:rFonts w:ascii="Arial" w:cs="Arial" w:eastAsia="Arial" w:hAnsi="Arial"/>
                <w:sz w:val="16"/>
                <w:szCs w:val="16"/>
                <w:color w:val="auto"/>
              </w:rPr>
              <w:t>Company’s Current Report on Form 8-K dated June 17, 2011).</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31.1</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31.2</w:t>
            </w:r>
          </w:p>
        </w:tc>
        <w:tc>
          <w:tcPr>
            <w:tcW w:w="10500" w:type="dxa"/>
            <w:vAlign w:val="bottom"/>
          </w:tcPr>
          <w:p>
            <w:pPr>
              <w:ind w:left="16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486"/>
        </w:trPr>
        <w:tc>
          <w:tcPr>
            <w:tcW w:w="920" w:type="dxa"/>
            <w:vAlign w:val="bottom"/>
          </w:tcPr>
          <w:p>
            <w:pPr>
              <w:ind w:left="180"/>
              <w:spacing w:after="0"/>
              <w:rPr>
                <w:sz w:val="20"/>
                <w:szCs w:val="20"/>
                <w:color w:val="auto"/>
              </w:rPr>
            </w:pPr>
            <w:r>
              <w:rPr>
                <w:rFonts w:ascii="Arial" w:cs="Arial" w:eastAsia="Arial" w:hAnsi="Arial"/>
                <w:sz w:val="16"/>
                <w:szCs w:val="16"/>
                <w:color w:val="auto"/>
              </w:rPr>
              <w:t>32</w:t>
            </w:r>
          </w:p>
        </w:tc>
        <w:tc>
          <w:tcPr>
            <w:tcW w:w="10500" w:type="dxa"/>
            <w:vAlign w:val="bottom"/>
          </w:tcPr>
          <w:p>
            <w:pPr>
              <w:ind w:left="16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080" w:right="140" w:hanging="910"/>
        <w:spacing w:after="0" w:line="248"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information from Graham Holdings Company Quarterly Report on Form 10-Q for the period ended September 30, 2014, formatted in Extensible Business Reporting Language (XBRL): (i) Condensed Consolidated Statements of Operations for the Three and Nine Months Ended September 30, 2014 and 2013, (ii) Condensed Consolidated Statements of Comprehensive Income for the Three and Nine Months Ended September 30, 2014 and 2013, (iii) Condensed Consolidated Balance Sheets as of September 30, 2014 and December 31, 2013, (iv) Condensed Consolidated Statements of Cash Flows for the Nine Months Ended September 30, 2014 and 2013,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62" w:right="239" w:bottom="1440" w:gutter="0" w:footer="0" w:header="0"/>
        </w:sectPr>
      </w:pPr>
    </w:p>
    <w:bookmarkStart w:id="34" w:name="page35"/>
    <w:bookmarkEnd w:id="34"/>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120"/>
          </w:cols>
          <w:pgMar w:left="240" w:top="74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November 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Date: November 5, 2014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left="-1459"/>
        <w:spacing w:after="0"/>
        <w:rPr>
          <w:sz w:val="20"/>
          <w:szCs w:val="20"/>
          <w:color w:val="auto"/>
        </w:rPr>
      </w:pPr>
      <w:r>
        <w:rPr>
          <w:rFonts w:ascii="Arial" w:cs="Arial" w:eastAsia="Arial" w:hAnsi="Arial"/>
          <w:sz w:val="17"/>
          <w:szCs w:val="17"/>
          <w:color w:val="auto"/>
        </w:rPr>
        <w:t>GRAHAM HOLDINGS COMPANY</w:t>
      </w:r>
    </w:p>
    <w:p>
      <w:pPr>
        <w:spacing w:after="0" w:line="61" w:lineRule="exact"/>
        <w:rPr>
          <w:sz w:val="20"/>
          <w:szCs w:val="20"/>
          <w:color w:val="auto"/>
        </w:rPr>
      </w:pPr>
    </w:p>
    <w:p>
      <w:pPr>
        <w:jc w:val="center"/>
        <w:ind w:left="-1459"/>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23495</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4"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Donald E. Graham,</w:t>
      </w:r>
    </w:p>
    <w:p>
      <w:pPr>
        <w:spacing w:after="0" w:line="19"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(Principal Executive Officer)</w:t>
      </w:r>
    </w:p>
    <w:p>
      <w:pPr>
        <w:spacing w:after="0" w:line="347" w:lineRule="exact"/>
        <w:rPr>
          <w:sz w:val="20"/>
          <w:szCs w:val="20"/>
          <w:color w:val="auto"/>
        </w:rPr>
      </w:pPr>
    </w:p>
    <w:p>
      <w:pPr>
        <w:jc w:val="center"/>
        <w:ind w:left="-1459"/>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14605</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Hal S. Jones,</w:t>
      </w:r>
    </w:p>
    <w:p>
      <w:pPr>
        <w:spacing w:after="0" w:line="19"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1459"/>
        <w:spacing w:after="0"/>
        <w:rPr>
          <w:sz w:val="20"/>
          <w:szCs w:val="20"/>
          <w:color w:val="auto"/>
        </w:rPr>
      </w:pPr>
      <w:r>
        <w:rPr>
          <w:rFonts w:ascii="Arial" w:cs="Arial" w:eastAsia="Arial" w:hAnsi="Arial"/>
          <w:sz w:val="14"/>
          <w:szCs w:val="14"/>
          <w:b w:val="1"/>
          <w:bCs w:val="1"/>
          <w:color w:val="auto"/>
        </w:rPr>
        <w:t>(Principal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4900" w:space="720"/>
            <w:col w:w="5500"/>
          </w:cols>
          <w:pgMar w:left="240" w:top="742" w:right="5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98" w:lineRule="exact"/>
        <w:rPr>
          <w:rFonts w:ascii="Arial" w:cs="Arial" w:eastAsia="Arial" w:hAnsi="Arial"/>
          <w:sz w:val="18"/>
          <w:szCs w:val="18"/>
          <w:color w:val="auto"/>
        </w:rPr>
      </w:pPr>
    </w:p>
    <w:p>
      <w:pPr>
        <w:ind w:left="340" w:right="580" w:hanging="8"/>
        <w:spacing w:after="0" w:line="303"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40" w:hanging="8"/>
        <w:spacing w:after="0" w:line="309"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340" w:right="80" w:hanging="8"/>
        <w:spacing w:after="0" w:line="315" w:lineRule="auto"/>
        <w:tabs>
          <w:tab w:leader="none" w:pos="8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84" w:lineRule="exact"/>
        <w:rPr>
          <w:rFonts w:ascii="Arial" w:cs="Arial" w:eastAsia="Arial" w:hAnsi="Arial"/>
          <w:sz w:val="17"/>
          <w:szCs w:val="17"/>
          <w:color w:val="auto"/>
        </w:rPr>
      </w:pPr>
    </w:p>
    <w:p>
      <w:pPr>
        <w:jc w:val="both"/>
        <w:ind w:left="1300" w:right="180" w:hanging="320"/>
        <w:spacing w:after="0" w:line="25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300" w:right="40" w:hanging="320"/>
        <w:spacing w:after="0" w:line="25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340" w:right="300" w:hanging="8"/>
        <w:spacing w:after="0" w:line="303"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960" w:hanging="320"/>
        <w:spacing w:after="0" w:line="262"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638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ectPr>
          <w:pgSz w:w="11900" w:h="16838" w:orient="portrait"/>
          <w:cols w:equalWidth="0" w:num="1">
            <w:col w:w="11420"/>
          </w:cols>
          <w:pgMar w:left="240" w:top="6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67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74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ectPr>
          <w:pgSz w:w="11900" w:h="16838" w:orient="portrait"/>
          <w:cols w:equalWidth="0" w:num="1">
            <w:col w:w="11420"/>
          </w:cols>
          <w:pgMar w:left="240" w:top="59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September 30, 2014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5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520" w:hanging="332"/>
        <w:spacing w:after="0" w:line="262"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43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p>
      <w:pPr>
        <w:spacing w:after="0" w:line="3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99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923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2014</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2019-12-05T15:16:27Z</dcterms:created>
  <dcterms:modified xsi:type="dcterms:W3CDTF">2019-12-05T15:16:27Z</dcterms:modified>
</cp:coreProperties>
</file>