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PubMatic,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74467Q103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74467Q103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Graham Holdings Company</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2,831,462.00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2,831,462.00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2,831,462.00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9940"/>
          </w:cols>
          <w:pgMar w:left="320" w:top="166" w:right="479" w:bottom="0" w:gutter="0" w:footer="0" w:header="0"/>
        </w:sectPr>
      </w:pPr>
    </w:p>
    <w:p>
      <w:pPr>
        <w:spacing w:after="0" w:line="7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reference to #11, the percentage ownership is calculated based upon an aggregate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40,324,790 shares of Class A common stock outstanding as of February 21, 2025, as reported in PubMatic, Inc.'s Form 10-K filed on February 27, 2025.</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PubMatic,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601 Marshall Street, Redwood City, CA, 94063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Graham Holdings Company</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1812 North Moore Street, Suite 2100, Arlington, VA 22209</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Graham Holdings Company is incorporated in the State of Delaware.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Class A Common Stock, par value $0.0001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74467Q103</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ectPr>
          <w:pgSz w:w="11900" w:h="16838" w:orient="portrait"/>
          <w:cols w:equalWidth="0" w:num="1">
            <w:col w:w="11100"/>
          </w:cols>
          <w:pgMar w:left="320" w:top="166" w:right="47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2,831,462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2,831,462</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2,831,462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Graham Holdings Company</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Nicole Maddrey</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4580"/>
        <w:spacing w:after="0"/>
        <w:rPr>
          <w:sz w:val="20"/>
          <w:szCs w:val="20"/>
          <w:color w:val="auto"/>
        </w:rPr>
      </w:pPr>
      <w:r>
        <w:rPr>
          <w:rFonts w:ascii="Times New Roman" w:cs="Times New Roman" w:eastAsia="Times New Roman" w:hAnsi="Times New Roman"/>
          <w:sz w:val="21"/>
          <w:szCs w:val="21"/>
          <w:color w:val="auto"/>
        </w:rPr>
        <w:t>Name/Title: Nicole Maddrey, Senior Vice President, Secretary,</w:t>
      </w:r>
    </w:p>
    <w:p>
      <w:pPr>
        <w:spacing w:after="0" w:line="2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General Counsel</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05/14/2025</w:t>
      </w:r>
    </w:p>
    <w:sectPr>
      <w:pgSz w:w="11900" w:h="16838" w:orient="portrait"/>
      <w:cols w:equalWidth="0" w:num="1">
        <w:col w:w="10000"/>
      </w:cols>
      <w:pgMar w:left="1440" w:top="112"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5"/>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2025-05-14T16:22:21Z</dcterms:created>
  <dcterms:modified xsi:type="dcterms:W3CDTF">2025-05-14T16:22:21Z</dcterms:modified>
</cp:coreProperties>
</file>