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20,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20, 2015, Graham Holdings Company issued a press release announcing the Company’s earnings for the fourth quarter and year ended December 31, 2014.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980"/>
              <w:spacing w:after="0"/>
              <w:rPr>
                <w:sz w:val="20"/>
                <w:szCs w:val="20"/>
                <w:color w:val="auto"/>
              </w:rPr>
            </w:pPr>
            <w:r>
              <w:rPr>
                <w:rFonts w:ascii="Arial" w:cs="Arial" w:eastAsia="Arial" w:hAnsi="Arial"/>
                <w:sz w:val="18"/>
                <w:szCs w:val="18"/>
                <w:color w:val="auto"/>
              </w:rPr>
              <w:t>(Registrant)</w:t>
            </w:r>
          </w:p>
        </w:tc>
      </w:tr>
      <w:tr>
        <w:trPr>
          <w:trHeight w:val="824"/>
        </w:trPr>
        <w:tc>
          <w:tcPr>
            <w:tcW w:w="2100" w:type="dxa"/>
            <w:vAlign w:val="bottom"/>
            <w:gridSpan w:val="3"/>
          </w:tcPr>
          <w:p>
            <w:pPr>
              <w:spacing w:after="0"/>
              <w:rPr>
                <w:sz w:val="20"/>
                <w:szCs w:val="20"/>
                <w:color w:val="auto"/>
              </w:rPr>
            </w:pPr>
            <w:r>
              <w:rPr>
                <w:rFonts w:ascii="Arial" w:cs="Arial" w:eastAsia="Arial" w:hAnsi="Arial"/>
                <w:sz w:val="18"/>
                <w:szCs w:val="18"/>
                <w:color w:val="auto"/>
              </w:rPr>
              <w:t>Date February 20, 2015</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3"/>
          </w:tcPr>
          <w:p>
            <w:pPr>
              <w:ind w:left="580"/>
              <w:spacing w:after="0"/>
              <w:rPr>
                <w:sz w:val="20"/>
                <w:szCs w:val="20"/>
                <w:color w:val="auto"/>
              </w:rPr>
            </w:pPr>
            <w:r>
              <w:rPr>
                <w:rFonts w:ascii="Arial" w:cs="Arial" w:eastAsia="Arial" w:hAnsi="Arial"/>
                <w:sz w:val="18"/>
                <w:szCs w:val="18"/>
                <w:color w:val="auto"/>
              </w:rPr>
              <w:t>/s/ Hal S. Jones</w:t>
            </w: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Hal S. Jones</w:t>
            </w:r>
          </w:p>
        </w:tc>
        <w:tc>
          <w:tcPr>
            <w:tcW w:w="4640" w:type="dxa"/>
            <w:vAlign w:val="bottom"/>
            <w:gridSpan w:val="2"/>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300" w:type="dxa"/>
            <w:vAlign w:val="bottom"/>
            <w:gridSpan w:val="5"/>
          </w:tcPr>
          <w:p>
            <w:pPr>
              <w:ind w:left="200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60" w:type="dxa"/>
            <w:vAlign w:val="bottom"/>
            <w:gridSpan w:val="3"/>
          </w:tcPr>
          <w:p>
            <w:pPr>
              <w:jc w:val="right"/>
              <w:ind w:right="9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320" w:type="dxa"/>
            <w:vAlign w:val="bottom"/>
            <w:gridSpan w:val="2"/>
          </w:tcPr>
          <w:p>
            <w:pPr>
              <w:ind w:left="132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8140" w:type="dxa"/>
            <w:vAlign w:val="bottom"/>
          </w:tcPr>
          <w:p>
            <w:pPr>
              <w:ind w:left="240"/>
              <w:spacing w:after="0"/>
              <w:rPr>
                <w:sz w:val="20"/>
                <w:szCs w:val="20"/>
                <w:color w:val="auto"/>
              </w:rPr>
            </w:pPr>
            <w:r>
              <w:rPr>
                <w:rFonts w:ascii="Arial" w:cs="Arial" w:eastAsia="Arial" w:hAnsi="Arial"/>
                <w:sz w:val="18"/>
                <w:szCs w:val="18"/>
                <w:color w:val="auto"/>
              </w:rPr>
              <w:t>Hal S. Jones</w:t>
            </w: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For Immediate Release</w:t>
            </w:r>
          </w:p>
        </w:tc>
      </w:tr>
      <w:tr>
        <w:trPr>
          <w:trHeight w:val="291"/>
        </w:trPr>
        <w:tc>
          <w:tcPr>
            <w:tcW w:w="920" w:type="dxa"/>
            <w:vAlign w:val="bottom"/>
          </w:tcPr>
          <w:p>
            <w:pPr>
              <w:spacing w:after="0"/>
              <w:rPr>
                <w:sz w:val="24"/>
                <w:szCs w:val="24"/>
                <w:color w:val="auto"/>
              </w:rPr>
            </w:pPr>
          </w:p>
        </w:tc>
        <w:tc>
          <w:tcPr>
            <w:tcW w:w="8140" w:type="dxa"/>
            <w:vAlign w:val="bottom"/>
          </w:tcPr>
          <w:p>
            <w:pPr>
              <w:ind w:left="240"/>
              <w:spacing w:after="0"/>
              <w:rPr>
                <w:sz w:val="20"/>
                <w:szCs w:val="20"/>
                <w:color w:val="auto"/>
              </w:rPr>
            </w:pPr>
            <w:r>
              <w:rPr>
                <w:rFonts w:ascii="Arial" w:cs="Arial" w:eastAsia="Arial" w:hAnsi="Arial"/>
                <w:sz w:val="18"/>
                <w:szCs w:val="18"/>
                <w:color w:val="auto"/>
              </w:rPr>
              <w:t>(703) 345-6370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20, 2015</w:t>
            </w:r>
          </w:p>
        </w:tc>
        <w:tc>
          <w:tcPr>
            <w:tcW w:w="460" w:type="dxa"/>
            <w:vAlign w:val="bottom"/>
          </w:tcPr>
          <w:p>
            <w:pPr>
              <w:spacing w:after="0"/>
              <w:rPr>
                <w:sz w:val="24"/>
                <w:szCs w:val="24"/>
                <w:color w:val="auto"/>
              </w:rPr>
            </w:pPr>
          </w:p>
        </w:tc>
      </w:tr>
    </w:tbl>
    <w:p>
      <w:pPr>
        <w:spacing w:after="0" w:line="2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GRAHAM HOLDINGS COMPANY REPORTS</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2014 AND FOURTH QUARTER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ARLINGTON VA—Graham Holdings Company (NYSE: GHC) today reported net income attributable to common shares of $1,293.0 million</w:t>
      </w:r>
    </w:p>
    <w:p>
      <w:pPr>
        <w:ind w:right="100"/>
        <w:spacing w:after="0" w:line="222" w:lineRule="auto"/>
        <w:rPr>
          <w:sz w:val="20"/>
          <w:szCs w:val="20"/>
          <w:color w:val="auto"/>
        </w:rPr>
      </w:pPr>
      <w:r>
        <w:rPr>
          <w:rFonts w:ascii="Arial" w:cs="Arial" w:eastAsia="Arial" w:hAnsi="Arial"/>
          <w:sz w:val="18"/>
          <w:szCs w:val="18"/>
          <w:color w:val="auto"/>
        </w:rPr>
        <w:t>($195.03 per share) for the year ended December 31, 2014, compared to $236.0 million ($32.05 per share) for the year ended December 31, 2013. Net income includes $372.2 million ($56.15 per share) and $64.0 million ($8.69 per share) in income from discontinued operations for 2014 and 2013, respectively. Income from continuing operations attributable to common shares was $920.7 million ($138.88 per share) for 2014, compared to $172.0 million ($23.36 per share) for 2013. For the fourth quarter of 2014, the Company reported net income attributable to common shares of $ 334.4 million ($57.41 per share), compared to $156.5 million ($21.14 per share) for the same period of 2013. Net income includes $2.3 million ($0.40 per share) and $106.3 million ($14.37 per share) in income from discontinued operations for the fourth quarter of 2014 and 2013, respectively. The Company reported income from continuing operations attributable to common shares of $332.1 million ($57.01 per share) for the fourth quarter of 2014, compared to $50.1 million ($6.77 per share) for the same period of 2013. (Refer to "Discontinued Operations" discussion below.)</w:t>
      </w:r>
    </w:p>
    <w:p>
      <w:pPr>
        <w:spacing w:after="0" w:line="141"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11% and 21% fewer diluted shares outstanding in 2014 and the fourth quarter of 2014, respectively, versus the same periods in 2013.</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results for 2014 and 2013 were affected by a number of items as described in the following paragraphs. Excluding these items, income from continuing operations attributable to common shares was $254.4 million ($38.40 per share) for 2014, compared to $215.8 million ($29.34 per share) for 2013. Excluding these items, income from continuing operations attributable to common shares was $100.8 million ($17.31 per share) for the fourth quarter of 2014, compared to $74.8 million ($10.13 per share) for the fourth quarter of 2013. (Refer to the Non-GAAP Financial Information schedule attached to this release for additional details.)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2014 are listed below, and fourth quarter activity, if any, is highlighted for each item:</w:t>
      </w:r>
    </w:p>
    <w:p>
      <w:pPr>
        <w:spacing w:after="0" w:line="81" w:lineRule="exact"/>
        <w:rPr>
          <w:sz w:val="20"/>
          <w:szCs w:val="20"/>
          <w:color w:val="auto"/>
        </w:rPr>
      </w:pPr>
    </w:p>
    <w:p>
      <w:pPr>
        <w:ind w:left="180" w:right="20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$31.6 million in early retirement program expense and related charges, restructuring charges and software asset write-offs at the education division and the corporate office (after-tax impact of $20.2 million, or $3.05 per share); $3.0 million of these charges were recorded in the fourth quarter (after-tax impact of $1.9 million, or $0.33 per share);</w:t>
      </w:r>
    </w:p>
    <w:p>
      <w:pPr>
        <w:spacing w:after="0" w:line="82"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$17.3 million in fourth quarter noncash intangible and other long-lived assets impairment charges at Kaplan and Other Businesses (after-tax impact of $11.2 million, or $1.69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$396.6 million fourth quarter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$7.27 per share); and</w:t>
      </w:r>
    </w:p>
    <w:p>
      <w:pPr>
        <w:spacing w:after="0" w:line="90" w:lineRule="exact"/>
        <w:rPr>
          <w:rFonts w:ascii="Arial" w:cs="Arial" w:eastAsia="Arial" w:hAnsi="Arial"/>
          <w:sz w:val="18"/>
          <w:szCs w:val="18"/>
          <w:color w:val="auto"/>
        </w:rPr>
      </w:pPr>
    </w:p>
    <w:p>
      <w:pPr>
        <w:ind w:left="180" w:right="20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 $8.5 million in losses were recorded in the fourth quarter (after-tax impact of $5.5 million, or $0.94 per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2013 are listed below, and fourth quarter activity, if any, is highlighted for each item:</w:t>
      </w:r>
    </w:p>
    <w:p>
      <w:pPr>
        <w:spacing w:after="0" w:line="80" w:lineRule="exact"/>
        <w:rPr>
          <w:sz w:val="20"/>
          <w:szCs w:val="20"/>
          <w:color w:val="auto"/>
        </w:rPr>
      </w:pPr>
    </w:p>
    <w:p>
      <w:pPr>
        <w:ind w:left="180" w:right="3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 $18.1 million of these charges were recorded in the fourth quarter (after-tax impact of $12.2 million, or $1.66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quarter $3.3 million noncash intangible assets impairment charge at Kaplan (after-tax impact of $3.2 million, or $0.44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quarter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right="2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 $4.0 million in losses were recorded in the fourth quarter (after-tax impact of $2.6 million, or $0.35 per share).</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Revenue for 2014 was $3,535.2 million, up 4% from $3,407.9 million in 2013. Revenues increased at the television broadcasting division and in other businesses, offset by a small decline at the cable and education divisions. Operating income for 2014 increased to $407.9 million, from $319.2 million in 2013. Operating results improved at all reporting segments and benefited from an increase in the net pension credit.</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For the fourth quarter of 2014, revenue was $925.3 million, up 7% from $867.2 million in 2013. Revenues increased at the television broadcasting division and in other businesses, were flat at the education division and lower at the cable division. The Company reported operating income of $146.2 million in the fourth quarter of 2014, compared to $97.4 million in 2013. Operating results improved at all reporting segments.</w:t>
      </w:r>
    </w:p>
    <w:p>
      <w:pPr>
        <w:spacing w:after="0" w:line="135"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2014 includes a $266.7 million gain from the exchange of the Berkshire Hathaway shares, and income from discontinued operations for 2014 includes a $375.0 million gain from the WPLG exchange.</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November 2014, the Company announced that its Board of Directors authorized management to proceed with plans for the complete legal and structural separation of Cable ONE, Inc., a Graham Holdings subsidiary, from Graham Holdings. Following the proposed transaction, Cable ONE will be an independent, publicly traded company. The Company intends to complete the proposed transaction later in 2015. The proposed transaction will be structured as a tax-free spin-off of Cable ONE to the stockholders of the Company. The transaction is contingent on the satisfaction of a number of conditions, including completion of the review process by the Securities and Exchange Commission of required filings under applicable securities regulations, other applicable regulatory approvals and the final approval of transaction terms by the Company’s Board of Directors.</w:t>
      </w:r>
    </w:p>
    <w:p>
      <w:pPr>
        <w:spacing w:after="0" w:line="139"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is contingent upon certain regulatory and accrediting agency approvals and is expected to close in the second or third quarter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Education division revenue in 2014 totaled $2,160.4 million, compared to revenue of $2,163.7 million in 2013. For the fourth quarter of 2014, education division revenue totaled $551.4 million, compared to revenue of $550.6 million for the same period of 2013.</w:t>
      </w:r>
    </w:p>
    <w:p>
      <w:pPr>
        <w:spacing w:after="0" w:line="135"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Kaplan reported operating income of $65.5 million for 2014, compared to $51.0 million in 2013; Kaplan reported operating income for the fourth quarter of 2014 of $33.4 million, compared to $14.4 million in the fourth quarter of 2013. Kaplan’s 2014 operating results in comparison to 2013 benefited from improvement in Kaplan Higher Education (KHE) and Kaplan International results, offset by increased intangible and other long-lived asset impairment charges.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2014 and 2013, with the objective of establishing lower cost levels in future periods. Across all businesses, restructuring costs and software asset write-offs totaled $16.8 million in 2014 and $36.4 million in 2013. Restructuring costs totaled $3.0 million in the fourth quarter of 2014 and $18.1 million in the fourth quarter of 2013. (Refer to the Education Division Information, Summary of Restructuring Charges schedule attached to this release for additional details.)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5" w:right="239" w:bottom="1440" w:gutter="0" w:footer="0" w:header="0"/>
        </w:sectPr>
      </w:pPr>
    </w:p>
    <w:bookmarkStart w:id="6" w:name="page7"/>
    <w:bookmarkEnd w:id="6"/>
    <w:p>
      <w:pPr>
        <w:ind w:right="34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The sale of an additional school in China was completed in January 2015. Kaplan’s operating results exclude these schools, which have been reclassified to discontinued operations for all periods presented.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including and excluding restructuring costs and software asset write-offs,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548"/>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2014</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color w:val="auto"/>
              </w:rPr>
              <w:t>2013</w:t>
            </w: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color w:val="auto"/>
              </w:rPr>
              <w:t>2013</w:t>
            </w: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254,461</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269,895</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(6)</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1,010,058</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1,080,908</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70,652</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61,137</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304,662</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293,201</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225,408</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218,883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840,915</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783,588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1,203</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1,494</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6,094</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7,990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(343)</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(1,312)</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551,381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550,618</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2,160,417</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2,163,734</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43,582</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29,230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49</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83,069</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71,584</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(1,178)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(3,188)</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(4,730)</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4,118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28,544</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27,952</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69,153</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51,653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(18,134)</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(33,873)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(57,093)</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(64,948)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(2,089)</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(2,422)</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(7,738)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Impairment of intangible and other long-lived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(17,203)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(17,203)</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(3,250)</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(109)</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33,413</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65,463</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50,989</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Restructuring Costs Excluded from Divisions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45,587</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34,640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89,564</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91,128</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(328)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(3,188)</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3,999</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4,118</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28,622</w:t>
            </w:r>
          </w:p>
        </w:tc>
        <w:tc>
          <w:tcPr>
            <w:tcW w:w="4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29,617</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69,380</w:t>
            </w:r>
          </w:p>
        </w:tc>
        <w:tc>
          <w:tcPr>
            <w:tcW w:w="4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57,425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(18,099)</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(22,831)</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(55,738)</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(53,906)</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55,782</w:t>
            </w:r>
          </w:p>
        </w:tc>
        <w:tc>
          <w:tcPr>
            <w:tcW w:w="48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38,238</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2"/>
                <w:szCs w:val="22"/>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107,205</w:t>
            </w:r>
          </w:p>
        </w:tc>
        <w:tc>
          <w:tcPr>
            <w:tcW w:w="4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98,765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Restructuring costs*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(2,968)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(18,117)</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(16,806)</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(36,358)</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(2,089)</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(2,422)</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(7,738)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(8,503)</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Impairment of intangible and other long-lived assets</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(17,203)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(3,250)</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(17,203)</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(3,250)</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700" w:type="dxa"/>
            <w:vAlign w:val="bottom"/>
            <w:gridSpan w:val="2"/>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(109)</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33,413</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14,403</w:t>
            </w: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65,463</w:t>
            </w: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50,989</w:t>
            </w:r>
          </w:p>
        </w:tc>
        <w:tc>
          <w:tcPr>
            <w:tcW w:w="1400" w:type="dxa"/>
            <w:vAlign w:val="bottom"/>
          </w:tcPr>
          <w:p>
            <w:pPr>
              <w:jc w:val="right"/>
              <w:ind w:right="3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*Non-GAAP Measure</w:t>
      </w:r>
    </w:p>
    <w:p>
      <w:pPr>
        <w:spacing w:after="0" w:line="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is in the process of teaching out the current students, and the campus closures will be completed by the end of 2015. In July 2014, KHE also announced plans to further reduce its work force.</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February 2015, Kaplan entered into a Purchase and Sale Agreement with ECA to sell substantially all of the assets of its KHE Campuses business. The transaction is contingent upon certain regulatory and accrediting agency approvals and is expected to close in the second or third quarter of 2015. In addition, in the fourth quarter of 2014, Kaplan recorded a $13.6 million other long-lived asset impairment charge in connection with its KHE Campuses business. KHE results include revenue and operating income (loss) related to the KHE Campuses business as follows: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6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w w:val="96"/>
              </w:rPr>
              <w:t>2013</w:t>
            </w:r>
          </w:p>
        </w:tc>
      </w:tr>
      <w:tr>
        <w:trPr>
          <w:trHeight w:val="250"/>
        </w:trPr>
        <w:tc>
          <w:tcPr>
            <w:tcW w:w="626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4"/>
              <w:spacing w:after="0"/>
              <w:rPr>
                <w:sz w:val="20"/>
                <w:szCs w:val="20"/>
                <w:color w:val="auto"/>
              </w:rPr>
            </w:pPr>
            <w:r>
              <w:rPr>
                <w:rFonts w:ascii="Arial" w:cs="Arial" w:eastAsia="Arial" w:hAnsi="Arial"/>
                <w:sz w:val="16"/>
                <w:szCs w:val="16"/>
                <w:b w:val="1"/>
                <w:bCs w:val="1"/>
                <w:color w:val="auto"/>
              </w:rPr>
              <w:t>67,355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75,712</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274,487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299,714</w:t>
            </w:r>
          </w:p>
        </w:tc>
      </w:tr>
      <w:tr>
        <w:trPr>
          <w:trHeight w:val="270"/>
        </w:trPr>
        <w:tc>
          <w:tcPr>
            <w:tcW w:w="62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4"/>
              <w:spacing w:after="0"/>
              <w:rPr>
                <w:sz w:val="20"/>
                <w:szCs w:val="20"/>
                <w:color w:val="auto"/>
              </w:rPr>
            </w:pPr>
            <w:r>
              <w:rPr>
                <w:rFonts w:ascii="Arial" w:cs="Arial" w:eastAsia="Arial" w:hAnsi="Arial"/>
                <w:sz w:val="16"/>
                <w:szCs w:val="16"/>
                <w:b w:val="1"/>
                <w:bCs w:val="1"/>
                <w:color w:val="auto"/>
              </w:rPr>
              <w:t>1,330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(12,500)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(28,343)</w:t>
            </w:r>
          </w:p>
        </w:tc>
      </w:tr>
    </w:tbl>
    <w:p>
      <w:pPr>
        <w:spacing w:after="0" w:line="16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connection with these and other plans, KHE incurred $6.5 million and $19.5 million in restructuring costs from severance, accelerated depreciation, lease obligations and other items in 2014 and 2013, respectively; $2.0 million and $5.4 million of these restructuring costs were recorded in the fourth quarter of 2014 and 2013, respectively.</w:t>
      </w:r>
    </w:p>
    <w:p>
      <w:pPr>
        <w:sectPr>
          <w:pgSz w:w="11900" w:h="16838" w:orient="portrait"/>
          <w:cols w:equalWidth="0" w:num="1">
            <w:col w:w="11420"/>
          </w:cols>
          <w:pgMar w:left="240" w:top="125" w:right="239" w:bottom="336"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5" w:right="239" w:bottom="336" w:gutter="0" w:footer="0" w:header="0"/>
          <w:type w:val="continuous"/>
        </w:sectPr>
      </w:pPr>
    </w:p>
    <w:bookmarkStart w:id="7" w:name="page8"/>
    <w:bookmarkEnd w:id="7"/>
    <w:p>
      <w:pPr>
        <w:ind w:right="80"/>
        <w:spacing w:after="0" w:line="224" w:lineRule="auto"/>
        <w:rPr>
          <w:sz w:val="20"/>
          <w:szCs w:val="20"/>
          <w:color w:val="auto"/>
        </w:rPr>
      </w:pPr>
      <w:r>
        <w:rPr>
          <w:rFonts w:ascii="Arial" w:cs="Arial" w:eastAsia="Arial" w:hAnsi="Arial"/>
          <w:sz w:val="18"/>
          <w:szCs w:val="18"/>
          <w:color w:val="auto"/>
        </w:rPr>
        <w:t>In 2014 and the fourth quarter of 2014, KHE revenue declined 7% and 6%, respectively, due largely to declines in average enrollments at KHE campuses and at Kaplan University that reflect weaker market demand over the past year and lower average tuition. The declines were most pronounced at KHE’s ground campuses due to the impact of campuses closed or in the process of closing, as well as weakness in demand for KHE’s non-degree vocational programs. KHE operating income improved in 2014 and the fourth quarter of 2014 due largely to expense reductions associated with lower enrollments and recent restructuring efforts and lower restructuring costs, partially offset by revenue declines and increased marketing spending at Kaplan University.</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New student enrollments at KHE declined 3% in 2014 due to lower demand across KHE and the impact of campus closures. Total students at December 31, 2014, were down 6% and 8% compared to December 31, 2013, and September 30, 2014. Excluding campuses closed or planned for closure, total students at December 31, 2014, were down 4% and 8% compared to December 31, 2013, and September 30, 2014, respectively. A summary of student enrollments is as follows:</w:t>
      </w:r>
    </w:p>
    <w:p>
      <w:pPr>
        <w:spacing w:after="0" w:line="19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Excluding Campuses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26035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89" w:lineRule="exact"/>
        <w:rPr>
          <w:sz w:val="20"/>
          <w:szCs w:val="20"/>
          <w:color w:val="auto"/>
        </w:rPr>
      </w:pPr>
    </w:p>
    <w:p>
      <w:pPr>
        <w:ind w:left="4660"/>
        <w:spacing w:after="0"/>
        <w:tabs>
          <w:tab w:leader="none" w:pos="910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5574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jc w:val="center"/>
              <w:ind w:left="2508"/>
              <w:spacing w:after="0"/>
              <w:rPr>
                <w:sz w:val="20"/>
                <w:szCs w:val="20"/>
                <w:color w:val="auto"/>
              </w:rPr>
            </w:pPr>
            <w:r>
              <w:rPr>
                <w:rFonts w:ascii="Arial" w:cs="Arial" w:eastAsia="Arial" w:hAnsi="Arial"/>
                <w:sz w:val="14"/>
                <w:szCs w:val="14"/>
                <w:b w:val="1"/>
                <w:bCs w:val="1"/>
                <w:color w:val="auto"/>
              </w:rPr>
              <w:t>December 31,</w:t>
            </w:r>
          </w:p>
        </w:tc>
        <w:tc>
          <w:tcPr>
            <w:tcW w:w="1500" w:type="dxa"/>
            <w:vAlign w:val="bottom"/>
          </w:tcPr>
          <w:p>
            <w:pPr>
              <w:jc w:val="center"/>
              <w:spacing w:after="0"/>
              <w:rPr>
                <w:sz w:val="20"/>
                <w:szCs w:val="20"/>
                <w:color w:val="auto"/>
              </w:rPr>
            </w:pPr>
            <w:r>
              <w:rPr>
                <w:rFonts w:ascii="Arial" w:cs="Arial" w:eastAsia="Arial" w:hAnsi="Arial"/>
                <w:sz w:val="14"/>
                <w:szCs w:val="14"/>
                <w:color w:val="auto"/>
              </w:rPr>
              <w:t>September 30,</w:t>
            </w:r>
          </w:p>
        </w:tc>
        <w:tc>
          <w:tcPr>
            <w:tcW w:w="144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276"/>
        </w:trPr>
        <w:tc>
          <w:tcPr>
            <w:tcW w:w="4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2014</w:t>
            </w:r>
          </w:p>
        </w:tc>
        <w:tc>
          <w:tcPr>
            <w:tcW w:w="14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ind w:right="188"/>
              <w:spacing w:after="0"/>
              <w:rPr>
                <w:sz w:val="20"/>
                <w:szCs w:val="20"/>
                <w:color w:val="auto"/>
              </w:rPr>
            </w:pPr>
            <w:r>
              <w:rPr>
                <w:rFonts w:ascii="Arial" w:cs="Arial" w:eastAsia="Arial" w:hAnsi="Arial"/>
                <w:sz w:val="14"/>
                <w:szCs w:val="14"/>
                <w:color w:val="auto"/>
              </w:rPr>
              <w:t>September 30,</w:t>
            </w:r>
          </w:p>
        </w:tc>
        <w:tc>
          <w:tcPr>
            <w:tcW w:w="1580" w:type="dxa"/>
            <w:vAlign w:val="bottom"/>
          </w:tcPr>
          <w:p>
            <w:pPr>
              <w:jc w:val="right"/>
              <w:ind w:right="348"/>
              <w:spacing w:after="0"/>
              <w:rPr>
                <w:sz w:val="20"/>
                <w:szCs w:val="20"/>
                <w:color w:val="auto"/>
              </w:rPr>
            </w:pPr>
            <w:r>
              <w:rPr>
                <w:rFonts w:ascii="Arial" w:cs="Arial" w:eastAsia="Arial" w:hAnsi="Arial"/>
                <w:sz w:val="14"/>
                <w:szCs w:val="14"/>
                <w:color w:val="auto"/>
              </w:rPr>
              <w:t>December 31,</w:t>
            </w:r>
          </w:p>
        </w:tc>
      </w:tr>
      <w:tr>
        <w:trPr>
          <w:trHeight w:val="276"/>
        </w:trPr>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5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2">
            <w:col w:w="7020" w:space="120"/>
            <w:col w:w="428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2600" w:type="dxa"/>
            <w:vAlign w:val="bottom"/>
          </w:tcPr>
          <w:p>
            <w:pPr>
              <w:spacing w:after="0"/>
              <w:rPr>
                <w:sz w:val="20"/>
                <w:szCs w:val="20"/>
                <w:color w:val="auto"/>
              </w:rPr>
            </w:pPr>
            <w:r>
              <w:rPr>
                <w:rFonts w:ascii="Arial" w:cs="Arial" w:eastAsia="Arial" w:hAnsi="Arial"/>
                <w:sz w:val="16"/>
                <w:szCs w:val="16"/>
                <w:color w:val="auto"/>
              </w:rPr>
              <w:t>Kaplan University</w:t>
            </w: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42,469</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46,342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42,816</w:t>
            </w:r>
          </w:p>
        </w:tc>
        <w:tc>
          <w:tcPr>
            <w:tcW w:w="12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42,469</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46,342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42,816</w:t>
            </w:r>
          </w:p>
        </w:tc>
      </w:tr>
      <w:tr>
        <w:trPr>
          <w:trHeight w:val="283"/>
        </w:trPr>
        <w:tc>
          <w:tcPr>
            <w:tcW w:w="2600" w:type="dxa"/>
            <w:vAlign w:val="bottom"/>
          </w:tcPr>
          <w:p>
            <w:pPr>
              <w:spacing w:after="0"/>
              <w:rPr>
                <w:sz w:val="20"/>
                <w:szCs w:val="20"/>
                <w:color w:val="auto"/>
              </w:rPr>
            </w:pPr>
            <w:r>
              <w:rPr>
                <w:rFonts w:ascii="Arial" w:cs="Arial" w:eastAsia="Arial" w:hAnsi="Arial"/>
                <w:sz w:val="16"/>
                <w:szCs w:val="16"/>
                <w:color w:val="auto"/>
              </w:rPr>
              <w:t>Other Campuses</w:t>
            </w: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14,266</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15,570</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17,417</w:t>
            </w:r>
          </w:p>
        </w:tc>
        <w:tc>
          <w:tcPr>
            <w:tcW w:w="120" w:type="dxa"/>
            <w:vAlign w:val="bottom"/>
          </w:tcPr>
          <w:p>
            <w:pPr>
              <w:spacing w:after="0"/>
              <w:rPr>
                <w:sz w:val="24"/>
                <w:szCs w:val="24"/>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14,045</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15,139</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15,818</w:t>
            </w:r>
          </w:p>
        </w:tc>
      </w:tr>
      <w:tr>
        <w:trPr>
          <w:trHeight w:val="264"/>
        </w:trPr>
        <w:tc>
          <w:tcPr>
            <w:tcW w:w="2600" w:type="dxa"/>
            <w:vAlign w:val="bottom"/>
          </w:tcPr>
          <w:p>
            <w:pPr>
              <w:spacing w:after="0"/>
              <w:rPr>
                <w:sz w:val="22"/>
                <w:szCs w:val="22"/>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56,735</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61,912</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60,233</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56,514</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61,481</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58,634</w:t>
            </w:r>
          </w:p>
        </w:tc>
      </w:tr>
      <w:tr>
        <w:trPr>
          <w:trHeight w:val="20"/>
        </w:trPr>
        <w:tc>
          <w:tcPr>
            <w:tcW w:w="2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2013</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20.6%</w:t>
            </w:r>
          </w:p>
        </w:tc>
        <w:tc>
          <w:tcPr>
            <w:tcW w:w="96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27.4%</w:t>
            </w: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34.2%</w:t>
            </w:r>
          </w:p>
        </w:tc>
        <w:tc>
          <w:tcPr>
            <w:tcW w:w="9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KTP includes Kaplan’s standardized test preparation programs. KTP revenue increased 4% in 2014 and 16% for the fourth quarter of 2014.</w:t>
      </w:r>
    </w:p>
    <w:p>
      <w:pPr>
        <w:spacing w:after="0" w:line="219" w:lineRule="auto"/>
        <w:rPr>
          <w:sz w:val="20"/>
          <w:szCs w:val="20"/>
          <w:color w:val="auto"/>
        </w:rPr>
      </w:pPr>
      <w:r>
        <w:rPr>
          <w:rFonts w:ascii="Arial" w:cs="Arial" w:eastAsia="Arial" w:hAnsi="Arial"/>
          <w:sz w:val="18"/>
          <w:szCs w:val="18"/>
          <w:color w:val="auto"/>
        </w:rPr>
        <w:t>Excluding revenues from acquired businesses, KTP revenue increased 2% in 2014 and 11% for the fourth quarter of 2014. KTP recorded a</w:t>
      </w:r>
    </w:p>
    <w:p>
      <w:pPr>
        <w:spacing w:after="0" w:line="219" w:lineRule="auto"/>
        <w:rPr>
          <w:sz w:val="20"/>
          <w:szCs w:val="20"/>
          <w:color w:val="auto"/>
        </w:rPr>
      </w:pPr>
      <w:r>
        <w:rPr>
          <w:rFonts w:ascii="Arial" w:cs="Arial" w:eastAsia="Arial" w:hAnsi="Arial"/>
          <w:sz w:val="18"/>
          <w:szCs w:val="18"/>
          <w:color w:val="auto"/>
        </w:rPr>
        <w:t>$7.7 million software asset write-off in the second quarter of 2014 due to a decision to consolidate certain learning management systems. KTP</w:t>
      </w:r>
    </w:p>
    <w:p>
      <w:pPr>
        <w:spacing w:after="0" w:line="219" w:lineRule="auto"/>
        <w:rPr>
          <w:sz w:val="20"/>
          <w:szCs w:val="20"/>
          <w:color w:val="auto"/>
        </w:rPr>
      </w:pPr>
      <w:r>
        <w:rPr>
          <w:rFonts w:ascii="Arial" w:cs="Arial" w:eastAsia="Arial" w:hAnsi="Arial"/>
          <w:sz w:val="18"/>
          <w:szCs w:val="18"/>
          <w:color w:val="auto"/>
        </w:rPr>
        <w:t>operating results declined in 2014 due to the software asset write-off and increased costs for newly acquired businesses. Operating results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of 2014 improved due to revenue growth.</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in 2014 due to enrollment growth in the pathways, English-language, Australia professional and Singapore higher education programs. Kaplan International revenue grew 3% in the fourth quarter of 2014 due to growth in the pathways, English-language, Australia Professional and Singapore higher education programs, offset by weaker currency exchange rates in Europe and Australia.</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Kaplan International operating income increased 34% in 2014 due primarily to improved results from operations in Australia and Singapore, and lower restructuring costs in 2014. Restructuring costs at Kaplan International totaled $0.2 million and $5.8 million in 2014 and 2013, respectively. Operating results were up in the fourth quarter of 2014 due to improved results in Australia and lower restructuring costs, offset by higher costs to support growth in English-language programs. Restructuring costs were $0.1 million and $1.7 million in the fourth quarter of 2014 and 2013, respectively.</w:t>
      </w:r>
    </w:p>
    <w:p>
      <w:pPr>
        <w:spacing w:after="0" w:line="137"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In the fourth quarter of 2014, Kaplan recorded $17.2 million in noncash intangible and other long-lived assets impairment charges in connection with businesses at KHE, KTP and Kaplan International. In 2013, Kaplan recorded $3.3 million in noncash intangible assets impairment charges primarily in connection with one of the businesses in Kaplan International.</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the fourth quarter of 2013, $11.0 million in restructuring costs was recorded in connection with charges related to office space managed by Kaplan corporate.</w:t>
      </w:r>
    </w:p>
    <w:p>
      <w:pPr>
        <w:spacing w:after="0" w:line="137"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including eliminating excess office capacity. This will likely result in additional restructuring plans and related costs in 2015.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Cable</w:t>
      </w:r>
    </w:p>
    <w:p>
      <w:pPr>
        <w:spacing w:after="0" w:line="166"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Cable division revenue for 2014 declined 1% to $798.1 million, from $807.3 million in 2013 due to 4% fewer customers and 8% fewer Primary Service Units (PSUs); revenue totaled $197.7 million for the fourth quarter of 2014, a 1% decline from $200.2 million for the fourth quarter of 2013. Operating expenses in 2014 declined 3%, from $637.6 million to $619.4 million in 2014; operating expenses declined 3% in the fourth quarter of 2014, from $151.5 million to $147.0 million. The expense declines are due to fewer customers and significantly reduced programming costs. Cable division operating income grew 5% to $178.7 million, from $169.7 million in 2013; operating income increased 4% from $48.7 million in the fourth quarter of 2013 to $50.7 million in the fourth quarter of 2014.</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Residential high-speed data revenue increased 5.3% in 2014 on 2.5% customer growth, and business sales increased 18.5% on a 14.9% increase in business high-speed data customers. Overall, business sales comprised 8.9% of total revenue for 2014, compared with 7.4% of total revenue for 2013. Due to rapidly rising programming costs and shrinking margins, video sales now have less value and emphasis (video PSUs were down 16% from 2013) and programming costs have been reduced significantly. Effective April 1, 2014, the cable division elected not to renew its contract for Viacom networks.</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cable division also continues to focus on higher lifetime value customers who are less attracted by discounting, require less support and churn less. Operating income margins increased to 22.4% in 2014, from 21.0% in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PSUs and total customers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40" w:type="dxa"/>
            <w:vAlign w:val="bottom"/>
          </w:tcPr>
          <w:p>
            <w:pPr>
              <w:spacing w:after="0"/>
              <w:rPr>
                <w:sz w:val="17"/>
                <w:szCs w:val="17"/>
                <w:color w:val="auto"/>
              </w:rPr>
            </w:pPr>
          </w:p>
        </w:tc>
        <w:tc>
          <w:tcPr>
            <w:tcW w:w="2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Video</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451,217</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538,894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488,454</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472,631</w:t>
            </w:r>
          </w:p>
        </w:tc>
      </w:tr>
      <w:tr>
        <w:trPr>
          <w:trHeight w:val="283"/>
        </w:trPr>
        <w:tc>
          <w:tcPr>
            <w:tcW w:w="9040" w:type="dxa"/>
            <w:vAlign w:val="bottom"/>
          </w:tcPr>
          <w:p>
            <w:pPr>
              <w:ind w:left="40"/>
              <w:spacing w:after="0"/>
              <w:rPr>
                <w:sz w:val="20"/>
                <w:szCs w:val="20"/>
                <w:color w:val="auto"/>
              </w:rPr>
            </w:pPr>
            <w:r>
              <w:rPr>
                <w:rFonts w:ascii="Arial" w:cs="Arial" w:eastAsia="Arial" w:hAnsi="Arial"/>
                <w:sz w:val="16"/>
                <w:szCs w:val="16"/>
                <w:color w:val="auto"/>
              </w:rPr>
              <w:t>Voice</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149,513</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169,181</w:t>
            </w:r>
          </w:p>
        </w:tc>
      </w:tr>
      <w:tr>
        <w:trPr>
          <w:trHeight w:val="267"/>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1,089,184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1,180,706</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686,671</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712,910</w:t>
            </w:r>
          </w:p>
        </w:tc>
      </w:tr>
      <w:tr>
        <w:trPr>
          <w:trHeight w:val="20"/>
        </w:trPr>
        <w:tc>
          <w:tcPr>
            <w:tcW w:w="9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July 2014, the cable division sold wireless spectrum licenses for $98.8 million; a pre-tax gain of $75.2 million was reported in the third quarter of 2014 in connection with these sales. The licenses had been purchased in the 2006 AWS auction.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Revenue for the television broadcasting division increased 18% to $363.8 million in 2014, from $308.3 million in 2013; operating income for 2014 was up 29% to $187.8 million, from $145.2 million in 2013. The increase in revenue and operating income is due to a $31.8 million increase in political advertising revenue, $9.5 million in incremental winter Olympics-related advertising revenue at the Company’s NBC affiliates and $18.6 million in increased retransmission revenues.</w:t>
      </w:r>
    </w:p>
    <w:p>
      <w:pPr>
        <w:spacing w:after="0" w:line="135"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For the fourth quarter of 2014, revenue increased 20% to $102.4 million, from $85.7 million in 2013; operating income for the fourth quarter of 2014 was up 24% to $ 54.4 million, from $44.0 million in the same period of 2013. The increase in revenue and operating income is due to a $15.4 million increase in political advertising revenue and $4.6 million in increased retransmission revenues.</w:t>
      </w:r>
    </w:p>
    <w:p>
      <w:pPr>
        <w:spacing w:after="0" w:line="137"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November 2014, the television broadcasting division acquired SocialNewsDesk, a market-leading software-based technology platform created by journalists to help newsroom and content producers publish, manage and monetize social media.</w:t>
      </w:r>
    </w:p>
    <w:p>
      <w:pPr>
        <w:spacing w:after="0" w:line="135"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As a result of the Berkshire exchange transaction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 Other businesses also includes a number of businesses acquired in 2014.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04" w:right="239" w:bottom="1440" w:gutter="0" w:footer="0" w:header="0"/>
        </w:sectPr>
      </w:pPr>
    </w:p>
    <w:bookmarkStart w:id="9" w:name="page10"/>
    <w:bookmarkEnd w:id="9"/>
    <w:p>
      <w:pPr>
        <w:ind w:right="140"/>
        <w:spacing w:after="0" w:line="223"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 In January 2015, Celtic Healthcare and Allegheny Health Network (AHN) closed on the formation of a joint venture to combine each other’s home health and hospice assets in the western Pennsylvania region. Although Celtic will manage the operations of the joint venture, Celtic holds a 40% interest in the joint venture, so the operating results of the joint venture will not be consolidated and the pro rata operating results will be included in the Company’s equity in earnings of affiliates in the future. Celtic's revenues from the western Pennsylvania region that now are part of the joint venture made up 29% of total Celtic revenues in 2014.</w:t>
      </w:r>
    </w:p>
    <w:p>
      <w:pPr>
        <w:spacing w:after="0" w:line="136"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On May 30, 2014, the Company acquired Joyce/Dayton Corp., a Dayton, OH-based manufacturer of screw jacks and other linear motion systems. The operating results of Joyce/Dayton are included in other businesses from the date of acquisition in the second quarter of 2014.</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and hospice services in Michigan and Illinois. The operating results of Residential are included in Other Businesses from the date of acquisition in the third quarter of 2014. Since Residential owns a minority interest in the Illinois operations it manages, the operating results of the Illinois operations are not being consolidated and the pro rata operating results are included in the Company’s equity in earnings of affiliates.</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increase in revenues for 2014 and the fourth quarter of 2014 is due primarily to the inclusion of revenues from the businesses acquired in 2014 and 2013. The improvement in operating results in 2014 and the fourth quarter of 2014 reflects the contribution of the acquired businesses, as well as improved results at SocialCode. These improvements were partially offset by acquisition-related costs and other integration expenses incurred in conjunction with the VNA-TIP Healthcare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In the third quarter of 2014, the acceptance period for the Voluntary Retirement Incentive Program (VRIP) ended and the Company recorded $10.3 million in early retirement program expense and other related charges, a portion of which is being funded from the assets of the Company’s pension plan. Excluding early retirement program expense, the total pension credit for the Company’s traditional defined benefit plan was $91.2 million and $42.7 million for 2014 and 2013, respectively.</w:t>
      </w:r>
    </w:p>
    <w:p>
      <w:pPr>
        <w:spacing w:after="0" w:line="13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Excluding the pension credit, early retirement program expense and other related charges, corporate office expenses increased in 2014 due to higher compensation costs, expenses related to acquisitions, the Berkshire exchange transaction and the cable spin-off, and incremental costs associated with the corporate office headquarters move to Arlington, VA.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480"/>
        <w:spacing w:after="0" w:line="227" w:lineRule="auto"/>
        <w:rPr>
          <w:sz w:val="20"/>
          <w:szCs w:val="20"/>
          <w:color w:val="auto"/>
        </w:rPr>
      </w:pPr>
      <w:r>
        <w:rPr>
          <w:rFonts w:ascii="Arial" w:cs="Arial" w:eastAsia="Arial" w:hAnsi="Arial"/>
          <w:sz w:val="18"/>
          <w:szCs w:val="18"/>
          <w:color w:val="auto"/>
        </w:rPr>
        <w:t>At September 30, 2014, the Company held a 16.5% interest in Classified Ventures, LLC (CV) and interests in several other affiliates. On October 1, 2014, the Company and the remaining partners in CV completed the sale of their entire stakes in CV. Total proceeds to the Company, net of transaction costs, were $408.5 million, of which $16.5 million will be held in escrow until October 1, 2015. The Company recorded a pre-tax non-operating gain of $396.6 million in connection with the sale in the fourth quarter of 2014.</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Company’s equity in earnings of affiliates, net, for 2014 was $100.4 million, compared to $13.2 million in 2013. For the fourth quarter of 2014, the Company’s equity in earnings of affiliates was $0.2 million and was insignificant for the fourth quarter of 2013.</w:t>
      </w:r>
    </w:p>
    <w:p>
      <w:pPr>
        <w:spacing w:after="0" w:line="135" w:lineRule="exact"/>
        <w:rPr>
          <w:sz w:val="20"/>
          <w:szCs w:val="20"/>
          <w:color w:val="auto"/>
        </w:rPr>
      </w:pPr>
    </w:p>
    <w:p>
      <w:pPr>
        <w:ind w:right="580"/>
        <w:spacing w:after="0" w:line="407" w:lineRule="auto"/>
        <w:rPr>
          <w:sz w:val="20"/>
          <w:szCs w:val="20"/>
          <w:color w:val="auto"/>
        </w:rPr>
      </w:pPr>
      <w:r>
        <w:rPr>
          <w:rFonts w:ascii="Arial" w:cs="Arial" w:eastAsia="Arial" w:hAnsi="Arial"/>
          <w:sz w:val="18"/>
          <w:szCs w:val="18"/>
          <w:color w:val="auto"/>
        </w:rPr>
        <w:t xml:space="preserve">The 2014 results include a pre-tax gain of $90.9 million from Classified Ventures’ sale of apartments.com in the second quarter of 2014. </w:t>
      </w:r>
      <w:r>
        <w:rPr>
          <w:rFonts w:ascii="Arial" w:cs="Arial" w:eastAsia="Arial" w:hAnsi="Arial"/>
          <w:sz w:val="18"/>
          <w:szCs w:val="18"/>
          <w:b w:val="1"/>
          <w:bCs w:val="1"/>
          <w:u w:val="single" w:color="auto"/>
          <w:color w:val="auto"/>
        </w:rPr>
        <w:t>Other Non-Operating Income (Expense)</w:t>
      </w:r>
    </w:p>
    <w:p>
      <w:pPr>
        <w:ind w:right="20"/>
        <w:spacing w:after="0" w:line="229" w:lineRule="auto"/>
        <w:rPr>
          <w:sz w:val="20"/>
          <w:szCs w:val="20"/>
          <w:color w:val="auto"/>
        </w:rPr>
      </w:pPr>
      <w:r>
        <w:rPr>
          <w:rFonts w:ascii="Arial" w:cs="Arial" w:eastAsia="Arial" w:hAnsi="Arial"/>
          <w:sz w:val="18"/>
          <w:szCs w:val="18"/>
          <w:color w:val="auto"/>
        </w:rPr>
        <w:t>The Company recorded other non-operating income, net, of $853.3 million in 2014, compared to expense of $23.8 million in 2013. For the fourth quarter of 2014, the Company recorded other non-operating income, net, of $387.3 million, compared to expense of $14.9 million for the fourth quarter of 2013.</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60"/>
          </w:cols>
          <w:pgMar w:left="240" w:top="125" w:right="299" w:bottom="1440" w:gutter="0" w:footer="0" w:header="0"/>
        </w:sectPr>
      </w:pPr>
    </w:p>
    <w:bookmarkStart w:id="10" w:name="page11"/>
    <w:bookmarkEnd w:id="10"/>
    <w:p>
      <w:pPr>
        <w:spacing w:after="0" w:line="224" w:lineRule="auto"/>
        <w:rPr>
          <w:sz w:val="20"/>
          <w:szCs w:val="20"/>
          <w:color w:val="auto"/>
        </w:rPr>
      </w:pPr>
      <w:r>
        <w:rPr>
          <w:rFonts w:ascii="Arial" w:cs="Arial" w:eastAsia="Arial" w:hAnsi="Arial"/>
          <w:sz w:val="18"/>
          <w:szCs w:val="18"/>
          <w:color w:val="auto"/>
        </w:rPr>
        <w:t>The 2014 non-operating income, net, included a fourth quarter pre-tax gain of $396.6 million on the sale of Classified Ventures, the pre-tax gain of $266.7 million in connection with the Company’s exchange of Berkshire shares, a pre-tax gain of $127.7 million on the sale of the headquarters building, a $75.2 million pre-tax gain on the sale of wireless licenses, $11.1 million in unrealized foreign currency losses ($8.5 million in unrealized foreign currency losses in the fourth quarter) and other items. The 2013 non-operating expense, net, included a $10.4 million fourth quarter write-down of a marketable equity security, $13.4 million in unrealized foreign currency losses ($4.0 million in unrealized foreign currency losses in the fourth quarter)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400"/>
        <w:spacing w:after="0" w:line="225" w:lineRule="auto"/>
        <w:rPr>
          <w:sz w:val="20"/>
          <w:szCs w:val="20"/>
          <w:color w:val="auto"/>
        </w:rPr>
      </w:pPr>
      <w:r>
        <w:rPr>
          <w:rFonts w:ascii="Arial" w:cs="Arial" w:eastAsia="Arial" w:hAnsi="Arial"/>
          <w:sz w:val="18"/>
          <w:szCs w:val="18"/>
          <w:color w:val="auto"/>
        </w:rPr>
        <w:t>The Company incurred net interest expense of $34.5 million in 2014, compared to $33.8 million in 2013; net interest expense totaled $9.5 million and $8.2 million for the fourth quarters of 2014 and 2013, respectively. At December 31, 2014, the Company had $445.9 million in borrowings outstanding at an average interest rate of 7.1%, and cash, marketable securities and other investments of $1,024.4 million. At December 31, 2013, the Company had $450.8 million in borrowings outstanding at an average interest rate of 7.0%, and cash, marketable securities and other investments of $1,175.8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effective tax rate for income from continuing operations in 2014 was 30.6%. The lower effective tax rate in 2014 largely relates to the Berkshire exchange transaction. The pre-tax gain of $266.7 million related to the disposition of the Berkshire shares was not subject to income tax as the exchange qualifies as a tax-free transaction.</w:t>
      </w:r>
    </w:p>
    <w:p>
      <w:pPr>
        <w:spacing w:after="0" w:line="137"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The effective tax rate for income from continuing operations in 2013 was 36.9%. This effective tax rate benefited from lower state taxes and lower rates in jurisdictions outside the United States, offset by $4.6 million in net state and non-U.S. valuation allowances provided against deferred income tax benefits where realization is doubtful.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and Berkshire Hathaway Inc. completed the Berkshire exchange transaction discussed above. A gain of</w:t>
      </w:r>
    </w:p>
    <w:p>
      <w:pPr>
        <w:ind w:right="60"/>
        <w:spacing w:after="0" w:line="235" w:lineRule="auto"/>
        <w:rPr>
          <w:sz w:val="20"/>
          <w:szCs w:val="20"/>
          <w:color w:val="auto"/>
        </w:rPr>
      </w:pPr>
      <w:r>
        <w:rPr>
          <w:rFonts w:ascii="Arial" w:cs="Arial" w:eastAsia="Arial" w:hAnsi="Arial"/>
          <w:sz w:val="18"/>
          <w:szCs w:val="18"/>
          <w:color w:val="auto"/>
        </w:rPr>
        <w:t>$375.0 million was recorded in discontinued operations in connection with the disposition of WPLG, a Miami-based television station. This gain is not subject to income tax.</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in China was sold by Kaplan in January 2015.</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October 1, 2013, the Company completed the sale of its newspaper publishing businesses for $250.0 million. The related publishing businesses sold include The Washington Post, Express, The Gazette Newspapers, Southern Maryland Newspapers, Greater Washington Publishing, Fairfax County Times, El Tiempo Latino and related websites (Publishing Subsidiaries). In the fourth quarter of 2013, a pre-tax gain of $157.5 million was recorded in discontinued operations on the sale ($100.0 million after-tax gain).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sold The Herald, a daily newspaper headquartered in Everett, WA.</w:t>
      </w:r>
    </w:p>
    <w:p>
      <w:pPr>
        <w:spacing w:after="0" w:line="144"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calculation of diluted earnings per share for 2014 and the fourth quarter of 2014 was based on 6,559,442 and 5,769,889 weighted average shares, respectively, compared to 7,332,508 and 7,347,267 weighted average shares, respectively, for 2013 and the fourth quarter of 2013. At December 31, 2014, there were 5,798,789 shares outstanding and the Company had remaining authorization from the Board of Directors to repurchase up to 159,219 shares of Class B common stock. The earnings per share computations for the year and fourth quarter of 2014 were favorably impacted by the 1,620,190 common shares repurchased as part of the Berkshire exchange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8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26"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925,343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867,242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711,202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704,285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45,366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58,924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5,251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17,302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146,222</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97,424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202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(9,879)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(8,838)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387,346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524,258</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74,293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191,900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332,358</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50,193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2,308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106,335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334,666</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156,528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334,410</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156,473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334,410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332,102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50,138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2,308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106,335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334,410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57.31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0.40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57.71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5,678</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57.01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0.40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57.41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5,770</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01" w:right="239" w:bottom="1440" w:gutter="0" w:footer="0" w:header="0"/>
        </w:sectPr>
      </w:pPr>
    </w:p>
    <w:bookmarkStart w:id="12" w:name="page13"/>
    <w:bookmarkEnd w:id="12"/>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3,535,166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3,407,911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2,887,918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2,843,998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203,646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229,355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18,368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17,302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407,932</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319,169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100,370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2,136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(36,586)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(36,067)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853,259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1,327,111</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274,830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406,100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101,500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921,011</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173,330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372,249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64,015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1,293,260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237,345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1,293,843</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236,865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1,292,996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920,747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171,995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372,249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64,015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1,292,996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139.44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56.37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195.81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6,470</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7,238</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138.88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56.15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195.03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6,559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0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551,381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550,618</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2,160,417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2,163,734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197,718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200,240</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798,134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807,309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102,446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85,688</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363,836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308,306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73,798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30,735</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212,907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128,803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(128)</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925,343</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867,242</w:t>
            </w: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3,535,166</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3,407,911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517,968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536,215</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2,094,954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2,112,745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147,010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151,543</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619,412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637,574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48,066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41,689</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176,003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163,114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67,850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34,647</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233,993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152,271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3,000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23,279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779,121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769,818</w:t>
            </w:r>
          </w:p>
        </w:tc>
        <w:tc>
          <w:tcPr>
            <w:tcW w:w="10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3,127,234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3,088,742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33,413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14,403</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65,463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50,989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50,708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48,697</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178,722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169,735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54,380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43,999</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187,833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145,192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5,948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(21,086)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1,773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87</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146,222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97,424</w:t>
            </w:r>
          </w:p>
        </w:tc>
        <w:tc>
          <w:tcPr>
            <w:tcW w:w="10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407,932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319,169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14,713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28,104</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61,737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89,622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26,748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27,541</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128,733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128,184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2,228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2,142</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8,409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8,746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1,430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3,931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247</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34</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58,924</w:t>
            </w:r>
          </w:p>
        </w:tc>
        <w:tc>
          <w:tcPr>
            <w:tcW w:w="100" w:type="dxa"/>
            <w:vAlign w:val="bottom"/>
          </w:tcPr>
          <w:p>
            <w:pPr>
              <w:spacing w:after="0"/>
              <w:rPr>
                <w:sz w:val="22"/>
                <w:szCs w:val="22"/>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203,646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229,355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Intangible and Other 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19,292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5,672</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24,941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32</w:t>
            </w:r>
          </w:p>
        </w:tc>
        <w:tc>
          <w:tcPr>
            <w:tcW w:w="2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3,193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22,553</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6,609</w:t>
            </w:r>
          </w:p>
        </w:tc>
        <w:tc>
          <w:tcPr>
            <w:tcW w:w="100" w:type="dxa"/>
            <w:vAlign w:val="bottom"/>
          </w:tcPr>
          <w:p>
            <w:pPr>
              <w:spacing w:after="0"/>
              <w:rPr>
                <w:sz w:val="22"/>
                <w:szCs w:val="22"/>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35,670</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4,032</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15,418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16,538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916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3,708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1,355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3"/>
                <w:szCs w:val="23"/>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(23,070)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(82,301)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97</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(17,770)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(9,058)</w:t>
            </w:r>
          </w:p>
        </w:tc>
        <w:tc>
          <w:tcPr>
            <w:tcW w:w="100" w:type="dxa"/>
            <w:vAlign w:val="bottom"/>
            <w:tcBorders>
              <w:bottom w:val="single" w:sz="8" w:color="auto"/>
            </w:tcBorders>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(61,195)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254,461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269,895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1,010,058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1,080,908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70,652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61,137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304,662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293,201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225,408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218,883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840,915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783,588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1,203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1,494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6,094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7,990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(24)</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551,381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550,618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2,160,417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2,163,734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210,879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240,665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926,989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1,009,324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71,830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64,325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309,392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289,083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196,864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190,931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771,762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731,935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19,337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35,367</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63,187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72,938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2,089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2,422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7,738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8,503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intangible and other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17,203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3,250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17,203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3,250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517,968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536,215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2,094,954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2,112,745</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43,582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29,230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49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83,069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71,584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(1,178)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(3,188)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28,544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27,952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69,153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51,653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(18,134)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(33,873)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(57,093)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(64,948)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(2,089)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(7,738)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intangible and other long-lived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(17,203)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(17,203)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33,413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14,403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65,463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50,989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28</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7,047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9,973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29,187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43,892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2,826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4,536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12,547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19,194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4,751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4,251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19,297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16,154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19</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9,344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(93)</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14,713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28,104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61,737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89,622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2,629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2,899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11,714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722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1,660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16,538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01" w:right="239" w:bottom="1440" w:gutter="0" w:footer="0" w:header="0"/>
        </w:sectPr>
      </w:pPr>
    </w:p>
    <w:bookmarkStart w:id="15" w:name="page16"/>
    <w:bookmarkEnd w:id="15"/>
    <w:p>
      <w:pPr>
        <w:ind w:left="44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EDUCATION DIVISION INFORMATION</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SUMMARY OF RESTRUCTURING CHARGES</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rPr>
              <w:t>Lease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rPr>
              <w:t>Obligation</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Software Asset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Severance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Write-offs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511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855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639</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2,005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850</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850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78</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2,968</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2,290</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2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536</w:t>
            </w:r>
          </w:p>
        </w:tc>
        <w:tc>
          <w:tcPr>
            <w:tcW w:w="240" w:type="dxa"/>
            <w:vAlign w:val="bottom"/>
          </w:tcPr>
          <w:p>
            <w:pPr>
              <w:spacing w:after="0"/>
              <w:rPr>
                <w:sz w:val="24"/>
                <w:szCs w:val="24"/>
                <w:color w:val="auto"/>
              </w:rPr>
            </w:pPr>
          </w:p>
        </w:tc>
        <w:tc>
          <w:tcPr>
            <w:tcW w:w="900" w:type="dxa"/>
            <w:vAlign w:val="bottom"/>
          </w:tcPr>
          <w:p>
            <w:pPr>
              <w:jc w:val="right"/>
              <w:ind w:right="41"/>
              <w:spacing w:after="0"/>
              <w:rPr>
                <w:sz w:val="20"/>
                <w:szCs w:val="20"/>
                <w:color w:val="auto"/>
              </w:rPr>
            </w:pPr>
            <w:r>
              <w:rPr>
                <w:rFonts w:ascii="Arial" w:cs="Arial" w:eastAsia="Arial" w:hAnsi="Arial"/>
                <w:sz w:val="14"/>
                <w:szCs w:val="14"/>
                <w:color w:val="auto"/>
              </w:rPr>
              <w:t>318</w:t>
            </w:r>
          </w:p>
        </w:tc>
        <w:tc>
          <w:tcPr>
            <w:tcW w:w="2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9,107</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1,594</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4,202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18,117</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Twelve Months Ended December 31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3,478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2,062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725</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230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6,495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1,040</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7,689</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8,729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227</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227</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1,025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1,355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1,750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7,689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16,806</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7,489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6,627</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19,544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1,684</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1,130</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2,698</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9,107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1,594</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9,351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0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7"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9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Twelve Months Ended</w:t>
            </w:r>
          </w:p>
        </w:tc>
      </w:tr>
      <w:tr>
        <w:trPr>
          <w:trHeight w:val="222"/>
        </w:trPr>
        <w:tc>
          <w:tcPr>
            <w:tcW w:w="6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2013</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332,102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50,138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920,747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171,995</w:t>
            </w:r>
          </w:p>
        </w:tc>
      </w:tr>
      <w:tr>
        <w:trPr>
          <w:trHeight w:val="251"/>
        </w:trPr>
        <w:tc>
          <w:tcPr>
            <w:tcW w:w="698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1,902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12,194</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20,225</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25,347</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Intangible and other long-lived assets impairment charges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11,213</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11,213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3,210</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on sale of Classified Ventures</w:t>
            </w:r>
          </w:p>
        </w:tc>
        <w:tc>
          <w:tcPr>
            <w:tcW w:w="20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(249,828)</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(249,828)</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(58,242)</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(266,733)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(81,836)</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Sale of wireless licenses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(48,235)</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Marketable equity securities write-down</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6,680</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6,680</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5,455</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2,580</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7,134</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8,564</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100,844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74,802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254,445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215,796</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57.01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138.88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23.36</w:t>
            </w:r>
          </w:p>
        </w:tc>
      </w:tr>
      <w:tr>
        <w:trPr>
          <w:trHeight w:val="264"/>
        </w:trPr>
        <w:tc>
          <w:tcPr>
            <w:tcW w:w="698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Early retirement, restructuring charges, and software asset write-offs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0.33</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3.05</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Intangible and other long-lived assets impairment charges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1.92</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1.69</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0.44</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on sale of Classified Ventures</w:t>
            </w:r>
          </w:p>
        </w:tc>
        <w:tc>
          <w:tcPr>
            <w:tcW w:w="20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(42.89)</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(37.68)</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(8.78)</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(40.23)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Sale of headquarters building</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(12.34)</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Sale of wireless licenses</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(7.27)</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Marketable equity securities write-down</w:t>
            </w:r>
          </w:p>
        </w:tc>
        <w:tc>
          <w:tcPr>
            <w:tcW w:w="20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0.91</w:t>
            </w:r>
          </w:p>
        </w:tc>
        <w:tc>
          <w:tcPr>
            <w:tcW w:w="30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0.91</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loss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0.94</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17.31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38.40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29.34</w:t>
            </w:r>
          </w:p>
        </w:tc>
      </w:tr>
      <w:tr>
        <w:trPr>
          <w:trHeight w:val="210"/>
        </w:trPr>
        <w:tc>
          <w:tcPr>
            <w:tcW w:w="6980" w:type="dxa"/>
            <w:vAlign w:val="bottom"/>
          </w:tcPr>
          <w:p>
            <w:pPr>
              <w:ind w:left="280"/>
              <w:spacing w:after="0"/>
              <w:rPr>
                <w:sz w:val="20"/>
                <w:szCs w:val="20"/>
                <w:color w:val="auto"/>
              </w:rPr>
            </w:pPr>
            <w:r>
              <w:rPr>
                <w:rFonts w:ascii="Arial" w:cs="Arial" w:eastAsia="Arial" w:hAnsi="Arial"/>
                <w:sz w:val="16"/>
                <w:szCs w:val="16"/>
                <w:color w:val="auto"/>
              </w:rPr>
              <w:t>The adjusted diluted per share amounts may not compute due to rounding.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2019-12-05T16:56:52Z</dcterms:created>
  <dcterms:modified xsi:type="dcterms:W3CDTF">2019-12-05T16:56:52Z</dcterms:modified>
</cp:coreProperties>
</file>