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GRAHAM HOLDINGS CO-CLASS 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384637104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384637104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244307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250879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250879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760" w:right="6200" w:hanging="874"/>
        <w:spacing w:after="0" w:line="432" w:lineRule="auto"/>
        <w:tabs>
          <w:tab w:leader="none" w:pos="1328" w:val="left"/>
        </w:tabs>
        <w:numPr>
          <w:ilvl w:val="0"/>
          <w:numId w:val="7"/>
        </w:numPr>
        <w:rPr>
          <w:rFonts w:ascii="Arial" w:cs="Arial" w:eastAsia="Arial" w:hAnsi="Arial"/>
          <w:sz w:val="15"/>
          <w:szCs w:val="15"/>
          <w:color w:val="auto"/>
        </w:rPr>
      </w:pPr>
      <w:r>
        <w:rPr>
          <w:rFonts w:ascii="Arial" w:cs="Arial" w:eastAsia="Arial" w:hAnsi="Arial"/>
          <w:sz w:val="15"/>
          <w:szCs w:val="15"/>
          <w:color w:val="auto"/>
        </w:rPr>
        <w:t>Address of Issuer’s Principal Executive Offices 1150 15th Street N.W., Washington,DC 20071</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384637104</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250879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5.49%</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244307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250879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2019-12-05T10:09:13Z</dcterms:created>
  <dcterms:modified xsi:type="dcterms:W3CDTF">2019-12-05T10:09:13Z</dcterms:modified>
</cp:coreProperties>
</file>