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spacing w:after="0" w:line="391" w:lineRule="exact"/>
        <w:rPr>
          <w:sz w:val="24"/>
          <w:szCs w:val="24"/>
          <w:color w:val="auto"/>
        </w:rPr>
      </w:pPr>
    </w:p>
    <w:p>
      <w:pPr>
        <w:ind w:left="400"/>
        <w:spacing w:after="0"/>
        <w:rPr>
          <w:sz w:val="20"/>
          <w:szCs w:val="20"/>
          <w:color w:val="auto"/>
        </w:rPr>
      </w:pPr>
      <w:r>
        <w:rPr>
          <w:rFonts w:ascii="Courier New" w:cs="Courier New" w:eastAsia="Courier New" w:hAnsi="Courier New"/>
          <w:sz w:val="17"/>
          <w:szCs w:val="17"/>
          <w:color w:val="auto"/>
        </w:rPr>
        <w:t>As filed with the Securities and Exchange Commission on June 24, 1994</w:t>
      </w:r>
    </w:p>
    <w:p>
      <w:pPr>
        <w:spacing w:after="0" w:line="196" w:lineRule="exact"/>
        <w:rPr>
          <w:sz w:val="24"/>
          <w:szCs w:val="24"/>
          <w:color w:val="auto"/>
        </w:rPr>
      </w:pPr>
    </w:p>
    <w:p>
      <w:pPr>
        <w:ind w:left="4560"/>
        <w:spacing w:after="0"/>
        <w:rPr>
          <w:sz w:val="20"/>
          <w:szCs w:val="20"/>
          <w:color w:val="auto"/>
        </w:rPr>
      </w:pPr>
      <w:r>
        <w:rPr>
          <w:rFonts w:ascii="Courier New" w:cs="Courier New" w:eastAsia="Courier New" w:hAnsi="Courier New"/>
          <w:sz w:val="17"/>
          <w:szCs w:val="17"/>
          <w:color w:val="auto"/>
        </w:rPr>
        <w:t>REGISTRATION NO.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5"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7"/>
          <w:szCs w:val="17"/>
          <w:color w:val="auto"/>
        </w:rPr>
        <w:t>WASHINGTON, D.C. 20549</w:t>
      </w:r>
    </w:p>
    <w:p>
      <w:pPr>
        <w:spacing w:after="0" w:line="196"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7"/>
          <w:szCs w:val="17"/>
          <w:color w:val="auto"/>
        </w:rPr>
        <w:t>FORM S-8</w:t>
      </w:r>
    </w:p>
    <w:p>
      <w:pPr>
        <w:spacing w:after="0" w:line="2"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7"/>
          <w:szCs w:val="17"/>
          <w:color w:val="auto"/>
        </w:rPr>
        <w:t>REGISTRATION STATEMENT</w:t>
      </w:r>
    </w:p>
    <w:p>
      <w:pPr>
        <w:spacing w:after="0" w:line="2" w:lineRule="exact"/>
        <w:rPr>
          <w:sz w:val="24"/>
          <w:szCs w:val="24"/>
          <w:color w:val="auto"/>
        </w:rPr>
      </w:pPr>
    </w:p>
    <w:p>
      <w:pPr>
        <w:jc w:val="center"/>
        <w:ind w:right="3520"/>
        <w:spacing w:after="0"/>
        <w:rPr>
          <w:sz w:val="20"/>
          <w:szCs w:val="20"/>
          <w:color w:val="auto"/>
        </w:rPr>
      </w:pPr>
      <w:r>
        <w:rPr>
          <w:rFonts w:ascii="Courier New" w:cs="Courier New" w:eastAsia="Courier New" w:hAnsi="Courier New"/>
          <w:sz w:val="17"/>
          <w:szCs w:val="17"/>
          <w:color w:val="auto"/>
        </w:rPr>
        <w:t>UNDER</w:t>
      </w:r>
    </w:p>
    <w:p>
      <w:pPr>
        <w:spacing w:after="0" w:line="2"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7"/>
          <w:szCs w:val="17"/>
          <w:color w:val="auto"/>
        </w:rPr>
        <w:t>THE SECURITIES ACT OF 1933</w:t>
      </w:r>
    </w:p>
    <w:p>
      <w:pPr>
        <w:spacing w:after="0" w:line="196"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jc w:val="center"/>
        <w:ind w:right="3520"/>
        <w:spacing w:after="0"/>
        <w:rPr>
          <w:sz w:val="20"/>
          <w:szCs w:val="20"/>
          <w:color w:val="auto"/>
        </w:rPr>
      </w:pPr>
      <w:r>
        <w:rPr>
          <w:rFonts w:ascii="Courier New" w:cs="Courier New" w:eastAsia="Courier New" w:hAnsi="Courier New"/>
          <w:sz w:val="17"/>
          <w:szCs w:val="17"/>
          <w:color w:val="auto"/>
        </w:rPr>
        <w:t>THE WASHINGTON POST COMPANY</w:t>
      </w:r>
    </w:p>
    <w:p>
      <w:pPr>
        <w:spacing w:after="0" w:line="2"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1520"/>
          </w:cols>
          <w:pgMar w:left="240" w:top="243" w:right="139" w:bottom="865" w:gutter="0" w:footer="0" w:header="0"/>
        </w:sectPr>
      </w:pPr>
    </w:p>
    <w:p>
      <w:pPr>
        <w:spacing w:after="0" w:line="196" w:lineRule="exact"/>
        <w:rPr>
          <w:sz w:val="24"/>
          <w:szCs w:val="24"/>
          <w:color w:val="auto"/>
        </w:rPr>
      </w:pPr>
    </w:p>
    <w:p>
      <w:pPr>
        <w:jc w:val="center"/>
        <w:ind w:right="2300"/>
        <w:spacing w:after="0"/>
        <w:rPr>
          <w:sz w:val="20"/>
          <w:szCs w:val="20"/>
          <w:color w:val="auto"/>
        </w:rPr>
      </w:pPr>
      <w:r>
        <w:rPr>
          <w:rFonts w:ascii="Courier New" w:cs="Courier New" w:eastAsia="Courier New" w:hAnsi="Courier New"/>
          <w:sz w:val="17"/>
          <w:szCs w:val="17"/>
          <w:color w:val="auto"/>
        </w:rPr>
        <w:t>Delaware</w:t>
      </w:r>
    </w:p>
    <w:p>
      <w:pPr>
        <w:spacing w:after="0" w:line="4" w:lineRule="exact"/>
        <w:rPr>
          <w:sz w:val="24"/>
          <w:szCs w:val="24"/>
          <w:color w:val="auto"/>
        </w:rPr>
      </w:pPr>
    </w:p>
    <w:p>
      <w:pPr>
        <w:jc w:val="center"/>
        <w:ind w:right="230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jc w:val="center"/>
        <w:ind w:right="4440"/>
        <w:spacing w:after="0"/>
        <w:rPr>
          <w:sz w:val="20"/>
          <w:szCs w:val="20"/>
          <w:color w:val="auto"/>
        </w:rPr>
      </w:pPr>
      <w:r>
        <w:rPr>
          <w:rFonts w:ascii="Courier New" w:cs="Courier New" w:eastAsia="Courier New" w:hAnsi="Courier New"/>
          <w:sz w:val="17"/>
          <w:szCs w:val="17"/>
          <w:color w:val="auto"/>
        </w:rPr>
        <w:t>53-0182885</w:t>
      </w:r>
    </w:p>
    <w:p>
      <w:pPr>
        <w:spacing w:after="0" w:line="4" w:lineRule="exact"/>
        <w:rPr>
          <w:sz w:val="24"/>
          <w:szCs w:val="24"/>
          <w:color w:val="auto"/>
        </w:rPr>
      </w:pPr>
    </w:p>
    <w:p>
      <w:pPr>
        <w:jc w:val="center"/>
        <w:ind w:right="4440"/>
        <w:spacing w:after="0"/>
        <w:rPr>
          <w:sz w:val="20"/>
          <w:szCs w:val="20"/>
          <w:color w:val="auto"/>
        </w:rPr>
      </w:pPr>
      <w:r>
        <w:rPr>
          <w:rFonts w:ascii="Courier New" w:cs="Courier New" w:eastAsia="Courier New" w:hAnsi="Courier New"/>
          <w:sz w:val="16"/>
          <w:szCs w:val="16"/>
          <w:color w:val="auto"/>
        </w:rPr>
        <w:t>(I.R.S. EMPLOYER</w:t>
      </w:r>
    </w:p>
    <w:p>
      <w:pPr>
        <w:spacing w:after="0" w:line="11" w:lineRule="exact"/>
        <w:rPr>
          <w:sz w:val="24"/>
          <w:szCs w:val="24"/>
          <w:color w:val="auto"/>
        </w:rPr>
      </w:pPr>
    </w:p>
    <w:p>
      <w:pPr>
        <w:sectPr>
          <w:pgSz w:w="11900" w:h="16838" w:orient="portrait"/>
          <w:cols w:equalWidth="0" w:num="2">
            <w:col w:w="4740" w:space="720"/>
            <w:col w:w="6060"/>
          </w:cols>
          <w:pgMar w:left="240" w:top="243" w:right="139" w:bottom="865" w:gutter="0" w:footer="0" w:header="0"/>
          <w:type w:val="continuous"/>
        </w:sectPr>
      </w:pPr>
    </w:p>
    <w:p>
      <w:pPr>
        <w:ind w:left="5260"/>
        <w:spacing w:after="0"/>
        <w:rPr>
          <w:sz w:val="20"/>
          <w:szCs w:val="20"/>
          <w:color w:val="auto"/>
        </w:rPr>
      </w:pPr>
      <w:r>
        <w:rPr>
          <w:rFonts w:ascii="Courier New" w:cs="Courier New" w:eastAsia="Courier New" w:hAnsi="Courier New"/>
          <w:sz w:val="17"/>
          <w:szCs w:val="17"/>
          <w:color w:val="auto"/>
        </w:rPr>
        <w:t>IDENTIFICATION NO.)</w:t>
      </w:r>
    </w:p>
    <w:p>
      <w:pPr>
        <w:spacing w:after="0" w:line="196"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color w:val="auto"/>
        </w:rPr>
        <w:t>1150 15th St., N.W.</w:t>
      </w:r>
    </w:p>
    <w:p>
      <w:pPr>
        <w:spacing w:after="0" w:line="2"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Washington, D.C. 20071</w:t>
      </w:r>
    </w:p>
    <w:p>
      <w:pPr>
        <w:spacing w:after="0" w:line="2" w:lineRule="exact"/>
        <w:rPr>
          <w:sz w:val="24"/>
          <w:szCs w:val="24"/>
          <w:color w:val="auto"/>
        </w:rPr>
      </w:pPr>
    </w:p>
    <w:p>
      <w:pPr>
        <w:ind w:left="2020"/>
        <w:spacing w:after="0"/>
        <w:rPr>
          <w:sz w:val="20"/>
          <w:szCs w:val="20"/>
          <w:color w:val="auto"/>
        </w:rPr>
      </w:pPr>
      <w:r>
        <w:rPr>
          <w:rFonts w:ascii="Courier New" w:cs="Courier New" w:eastAsia="Courier New" w:hAnsi="Courier New"/>
          <w:sz w:val="17"/>
          <w:szCs w:val="17"/>
          <w:color w:val="auto"/>
        </w:rPr>
        <w:t>(ADDRESS OF PRINCIPAL EXECUTIVE OFFICES)</w:t>
      </w:r>
    </w:p>
    <w:p>
      <w:pPr>
        <w:spacing w:after="0" w:line="196" w:lineRule="exact"/>
        <w:rPr>
          <w:sz w:val="24"/>
          <w:szCs w:val="24"/>
          <w:color w:val="auto"/>
        </w:rPr>
      </w:pPr>
    </w:p>
    <w:p>
      <w:pPr>
        <w:jc w:val="center"/>
        <w:ind w:right="3520"/>
        <w:spacing w:after="0"/>
        <w:rPr>
          <w:sz w:val="20"/>
          <w:szCs w:val="20"/>
          <w:color w:val="auto"/>
        </w:rPr>
      </w:pPr>
      <w:r>
        <w:rPr>
          <w:rFonts w:ascii="Courier New" w:cs="Courier New" w:eastAsia="Courier New" w:hAnsi="Courier New"/>
          <w:sz w:val="17"/>
          <w:szCs w:val="17"/>
          <w:color w:val="auto"/>
        </w:rPr>
        <w:t>The Washington Post Company Stock Option Plan</w:t>
      </w:r>
    </w:p>
    <w:p>
      <w:pPr>
        <w:spacing w:after="0" w:line="2"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7"/>
          <w:szCs w:val="17"/>
          <w:color w:val="auto"/>
        </w:rPr>
        <w:t>(FULL TITLE OF PLAN)</w:t>
      </w:r>
    </w:p>
    <w:p>
      <w:pPr>
        <w:spacing w:after="0" w:line="196" w:lineRule="exact"/>
        <w:rPr>
          <w:sz w:val="24"/>
          <w:szCs w:val="24"/>
          <w:color w:val="auto"/>
        </w:rPr>
      </w:pPr>
    </w:p>
    <w:p>
      <w:pPr>
        <w:ind w:left="3240"/>
        <w:spacing w:after="0"/>
        <w:rPr>
          <w:sz w:val="20"/>
          <w:szCs w:val="20"/>
          <w:color w:val="auto"/>
        </w:rPr>
      </w:pPr>
      <w:r>
        <w:rPr>
          <w:rFonts w:ascii="Courier New" w:cs="Courier New" w:eastAsia="Courier New" w:hAnsi="Courier New"/>
          <w:sz w:val="17"/>
          <w:szCs w:val="17"/>
          <w:color w:val="auto"/>
        </w:rPr>
        <w:t>Diana M. Daniels</w:t>
      </w:r>
    </w:p>
    <w:p>
      <w:pPr>
        <w:spacing w:after="0" w:line="2" w:lineRule="exact"/>
        <w:rPr>
          <w:sz w:val="24"/>
          <w:szCs w:val="24"/>
          <w:color w:val="auto"/>
        </w:rPr>
      </w:pPr>
    </w:p>
    <w:p>
      <w:pPr>
        <w:ind w:left="2320"/>
        <w:spacing w:after="0"/>
        <w:rPr>
          <w:sz w:val="20"/>
          <w:szCs w:val="20"/>
          <w:color w:val="auto"/>
        </w:rPr>
      </w:pPr>
      <w:r>
        <w:rPr>
          <w:rFonts w:ascii="Courier New" w:cs="Courier New" w:eastAsia="Courier New" w:hAnsi="Courier New"/>
          <w:sz w:val="17"/>
          <w:szCs w:val="17"/>
          <w:color w:val="auto"/>
        </w:rPr>
        <w:t>Vice President and General Counsel</w:t>
      </w:r>
    </w:p>
    <w:p>
      <w:pPr>
        <w:spacing w:after="0" w:line="2" w:lineRule="exact"/>
        <w:rPr>
          <w:sz w:val="24"/>
          <w:szCs w:val="24"/>
          <w:color w:val="auto"/>
        </w:rPr>
      </w:pPr>
    </w:p>
    <w:p>
      <w:pPr>
        <w:ind w:left="2640"/>
        <w:spacing w:after="0"/>
        <w:rPr>
          <w:sz w:val="20"/>
          <w:szCs w:val="20"/>
          <w:color w:val="auto"/>
        </w:rPr>
      </w:pPr>
      <w:r>
        <w:rPr>
          <w:rFonts w:ascii="Courier New" w:cs="Courier New" w:eastAsia="Courier New" w:hAnsi="Courier New"/>
          <w:sz w:val="17"/>
          <w:szCs w:val="17"/>
          <w:color w:val="auto"/>
        </w:rPr>
        <w:t>The Washington Post Company</w:t>
      </w:r>
    </w:p>
    <w:p>
      <w:pPr>
        <w:spacing w:after="0" w:line="2"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1150 15th Street, N.W.</w:t>
      </w:r>
    </w:p>
    <w:p>
      <w:pPr>
        <w:spacing w:after="0" w:line="2"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Washington, D.C. 20071</w:t>
      </w:r>
    </w:p>
    <w:p>
      <w:pPr>
        <w:spacing w:after="0" w:line="2"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(202) 334-6694</w:t>
      </w:r>
    </w:p>
    <w:p>
      <w:pPr>
        <w:spacing w:after="0" w:line="2" w:lineRule="exact"/>
        <w:rPr>
          <w:sz w:val="24"/>
          <w:szCs w:val="24"/>
          <w:color w:val="auto"/>
        </w:rPr>
      </w:pPr>
    </w:p>
    <w:p>
      <w:pPr>
        <w:ind w:left="2220"/>
        <w:spacing w:after="0"/>
        <w:rPr>
          <w:sz w:val="20"/>
          <w:szCs w:val="20"/>
          <w:color w:val="auto"/>
        </w:rPr>
      </w:pPr>
      <w:r>
        <w:rPr>
          <w:rFonts w:ascii="Courier New" w:cs="Courier New" w:eastAsia="Courier New" w:hAnsi="Courier New"/>
          <w:sz w:val="17"/>
          <w:szCs w:val="17"/>
          <w:color w:val="auto"/>
        </w:rPr>
        <w:t>(NAME, ADDRESS AND TELEPHONE NUMBER,</w:t>
      </w:r>
    </w:p>
    <w:p>
      <w:pPr>
        <w:spacing w:after="0" w:line="2" w:lineRule="exact"/>
        <w:rPr>
          <w:sz w:val="24"/>
          <w:szCs w:val="24"/>
          <w:color w:val="auto"/>
        </w:rPr>
      </w:pPr>
    </w:p>
    <w:p>
      <w:pPr>
        <w:ind w:left="1920"/>
        <w:spacing w:after="0"/>
        <w:rPr>
          <w:sz w:val="20"/>
          <w:szCs w:val="20"/>
          <w:color w:val="auto"/>
        </w:rPr>
      </w:pPr>
      <w:r>
        <w:rPr>
          <w:rFonts w:ascii="Courier New" w:cs="Courier New" w:eastAsia="Courier New" w:hAnsi="Courier New"/>
          <w:sz w:val="17"/>
          <w:szCs w:val="17"/>
          <w:color w:val="auto"/>
        </w:rPr>
        <w:t>INCLUDING AREA CODE, OF AGENT FOR SERVICE)</w:t>
      </w:r>
    </w:p>
    <w:p>
      <w:pPr>
        <w:spacing w:after="0" w:line="196"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ind w:left="3440"/>
        <w:spacing w:after="0"/>
        <w:rPr>
          <w:sz w:val="20"/>
          <w:szCs w:val="20"/>
          <w:color w:val="auto"/>
        </w:rPr>
      </w:pPr>
      <w:r>
        <w:rPr>
          <w:rFonts w:ascii="Courier New" w:cs="Courier New" w:eastAsia="Courier New" w:hAnsi="Courier New"/>
          <w:sz w:val="17"/>
          <w:szCs w:val="17"/>
          <w:color w:val="auto"/>
        </w:rPr>
        <w:t>COPIES TO:</w:t>
      </w:r>
    </w:p>
    <w:p>
      <w:pPr>
        <w:spacing w:after="0" w:line="196" w:lineRule="exact"/>
        <w:rPr>
          <w:sz w:val="24"/>
          <w:szCs w:val="24"/>
          <w:color w:val="auto"/>
        </w:rPr>
      </w:pPr>
    </w:p>
    <w:p>
      <w:pPr>
        <w:ind w:left="2740"/>
        <w:spacing w:after="0"/>
        <w:rPr>
          <w:sz w:val="20"/>
          <w:szCs w:val="20"/>
          <w:color w:val="auto"/>
        </w:rPr>
      </w:pPr>
      <w:r>
        <w:rPr>
          <w:rFonts w:ascii="Courier New" w:cs="Courier New" w:eastAsia="Courier New" w:hAnsi="Courier New"/>
          <w:sz w:val="17"/>
          <w:szCs w:val="17"/>
          <w:color w:val="auto"/>
        </w:rPr>
        <w:t>Cravath, Swaine &amp; Moore</w:t>
      </w:r>
    </w:p>
    <w:p>
      <w:pPr>
        <w:spacing w:after="0" w:line="2" w:lineRule="exact"/>
        <w:rPr>
          <w:sz w:val="24"/>
          <w:szCs w:val="24"/>
          <w:color w:val="auto"/>
        </w:rPr>
      </w:pPr>
    </w:p>
    <w:p>
      <w:pPr>
        <w:ind w:left="3140"/>
        <w:spacing w:after="0"/>
        <w:rPr>
          <w:sz w:val="20"/>
          <w:szCs w:val="20"/>
          <w:color w:val="auto"/>
        </w:rPr>
      </w:pPr>
      <w:r>
        <w:rPr>
          <w:rFonts w:ascii="Courier New" w:cs="Courier New" w:eastAsia="Courier New" w:hAnsi="Courier New"/>
          <w:sz w:val="17"/>
          <w:szCs w:val="17"/>
          <w:color w:val="auto"/>
        </w:rPr>
        <w:t>Worldwide Plaza</w:t>
      </w:r>
    </w:p>
    <w:p>
      <w:pPr>
        <w:spacing w:after="0" w:line="2" w:lineRule="exact"/>
        <w:rPr>
          <w:sz w:val="24"/>
          <w:szCs w:val="24"/>
          <w:color w:val="auto"/>
        </w:rPr>
      </w:pPr>
    </w:p>
    <w:p>
      <w:pPr>
        <w:ind w:left="3140"/>
        <w:spacing w:after="0"/>
        <w:rPr>
          <w:sz w:val="20"/>
          <w:szCs w:val="20"/>
          <w:color w:val="auto"/>
        </w:rPr>
      </w:pPr>
      <w:r>
        <w:rPr>
          <w:rFonts w:ascii="Courier New" w:cs="Courier New" w:eastAsia="Courier New" w:hAnsi="Courier New"/>
          <w:sz w:val="17"/>
          <w:szCs w:val="17"/>
          <w:color w:val="auto"/>
        </w:rPr>
        <w:t>825 Eighth Avenue</w:t>
      </w:r>
    </w:p>
    <w:p>
      <w:pPr>
        <w:spacing w:after="0" w:line="2"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New York, N.Y. 10019</w:t>
      </w:r>
    </w:p>
    <w:p>
      <w:pPr>
        <w:spacing w:after="0" w:line="2" w:lineRule="exact"/>
        <w:rPr>
          <w:sz w:val="24"/>
          <w:szCs w:val="24"/>
          <w:color w:val="auto"/>
        </w:rPr>
      </w:pPr>
    </w:p>
    <w:p>
      <w:pPr>
        <w:ind w:left="3840" w:hanging="601"/>
        <w:spacing w:after="0"/>
        <w:tabs>
          <w:tab w:leader="none" w:pos="38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474-1000</w:t>
      </w:r>
    </w:p>
    <w:p>
      <w:pPr>
        <w:spacing w:after="0" w:line="1" w:lineRule="exact"/>
        <w:rPr>
          <w:rFonts w:ascii="Courier New" w:cs="Courier New" w:eastAsia="Courier New" w:hAnsi="Courier New"/>
          <w:sz w:val="17"/>
          <w:szCs w:val="17"/>
          <w:color w:val="auto"/>
        </w:rPr>
      </w:pPr>
    </w:p>
    <w:p>
      <w:pPr>
        <w:ind w:left="2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Attention: Melvin L. Bedrick, Esq.</w:t>
      </w:r>
    </w:p>
    <w:p>
      <w:pPr>
        <w:spacing w:after="0" w:line="196"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ind w:left="2440"/>
        <w:spacing w:after="0"/>
        <w:rPr>
          <w:sz w:val="20"/>
          <w:szCs w:val="20"/>
          <w:color w:val="auto"/>
        </w:rPr>
      </w:pPr>
      <w:r>
        <w:rPr>
          <w:rFonts w:ascii="Courier New" w:cs="Courier New" w:eastAsia="Courier New" w:hAnsi="Courier New"/>
          <w:sz w:val="17"/>
          <w:szCs w:val="17"/>
          <w:color w:val="auto"/>
        </w:rPr>
        <w:t>CALCULATION OF REGISTRATION FEE</w:t>
      </w: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 w:lineRule="exact"/>
        <w:rPr>
          <w:sz w:val="24"/>
          <w:szCs w:val="24"/>
          <w:color w:val="auto"/>
        </w:rPr>
      </w:pPr>
    </w:p>
    <w:tbl>
      <w:tblPr>
        <w:tblLayout w:type="fixed"/>
        <w:tblInd w:w="400" w:type="dxa"/>
        <w:tblCellMar>
          <w:top w:w="0" w:type="dxa"/>
          <w:left w:w="0" w:type="dxa"/>
          <w:bottom w:w="0" w:type="dxa"/>
          <w:right w:w="0" w:type="dxa"/>
        </w:tblCellMar>
      </w:tblPr>
      <w:tr>
        <w:trPr>
          <w:trHeight w:val="193"/>
        </w:trPr>
        <w:tc>
          <w:tcPr>
            <w:tcW w:w="29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1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PROPOSED MAXIMUM</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PROPOSED</w:t>
            </w:r>
          </w:p>
        </w:tc>
        <w:tc>
          <w:tcPr>
            <w:tcW w:w="1120" w:type="dxa"/>
            <w:vAlign w:val="bottom"/>
          </w:tcPr>
          <w:p>
            <w:pPr>
              <w:ind w:left="60"/>
              <w:spacing w:after="0"/>
              <w:rPr>
                <w:sz w:val="20"/>
                <w:szCs w:val="20"/>
                <w:color w:val="auto"/>
              </w:rPr>
            </w:pPr>
            <w:r>
              <w:rPr>
                <w:rFonts w:ascii="Courier New" w:cs="Courier New" w:eastAsia="Courier New" w:hAnsi="Courier New"/>
                <w:sz w:val="17"/>
                <w:szCs w:val="17"/>
                <w:color w:val="auto"/>
              </w:rPr>
              <w:t>MAXIMUM</w:t>
            </w:r>
          </w:p>
        </w:tc>
        <w:tc>
          <w:tcPr>
            <w:tcW w:w="1860" w:type="dxa"/>
            <w:vAlign w:val="bottom"/>
          </w:tcPr>
          <w:p>
            <w:pPr>
              <w:ind w:left="360"/>
              <w:spacing w:after="0"/>
              <w:rPr>
                <w:sz w:val="20"/>
                <w:szCs w:val="20"/>
                <w:color w:val="auto"/>
              </w:rPr>
            </w:pPr>
            <w:r>
              <w:rPr>
                <w:rFonts w:ascii="Courier New" w:cs="Courier New" w:eastAsia="Courier New" w:hAnsi="Courier New"/>
                <w:sz w:val="17"/>
                <w:szCs w:val="17"/>
                <w:color w:val="auto"/>
              </w:rPr>
              <w:t>AMOUNT OF</w:t>
            </w:r>
          </w:p>
        </w:tc>
      </w:tr>
      <w:tr>
        <w:trPr>
          <w:trHeight w:val="194"/>
        </w:trPr>
        <w:tc>
          <w:tcPr>
            <w:tcW w:w="2940" w:type="dxa"/>
            <w:vAlign w:val="bottom"/>
          </w:tcPr>
          <w:p>
            <w:pPr>
              <w:spacing w:after="0"/>
              <w:rPr>
                <w:sz w:val="20"/>
                <w:szCs w:val="20"/>
                <w:color w:val="auto"/>
              </w:rPr>
            </w:pPr>
            <w:r>
              <w:rPr>
                <w:rFonts w:ascii="Courier New" w:cs="Courier New" w:eastAsia="Courier New" w:hAnsi="Courier New"/>
                <w:sz w:val="17"/>
                <w:szCs w:val="17"/>
                <w:color w:val="auto"/>
              </w:rPr>
              <w:t>TITLE OF SECURITIES TO BE</w:t>
            </w:r>
          </w:p>
        </w:tc>
        <w:tc>
          <w:tcPr>
            <w:tcW w:w="182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9"/>
              </w:rPr>
              <w:t>AMOUNT TO BE</w:t>
            </w:r>
          </w:p>
        </w:tc>
        <w:tc>
          <w:tcPr>
            <w:tcW w:w="1660" w:type="dxa"/>
            <w:vAlign w:val="bottom"/>
          </w:tcPr>
          <w:p>
            <w:pPr>
              <w:jc w:val="right"/>
              <w:spacing w:after="0"/>
              <w:rPr>
                <w:sz w:val="20"/>
                <w:szCs w:val="20"/>
                <w:color w:val="auto"/>
              </w:rPr>
            </w:pPr>
            <w:r>
              <w:rPr>
                <w:rFonts w:ascii="Courier New" w:cs="Courier New" w:eastAsia="Courier New" w:hAnsi="Courier New"/>
                <w:sz w:val="17"/>
                <w:szCs w:val="17"/>
                <w:color w:val="auto"/>
              </w:rPr>
              <w:t>OFFERING PRICE</w:t>
            </w:r>
          </w:p>
        </w:tc>
        <w:tc>
          <w:tcPr>
            <w:tcW w:w="460" w:type="dxa"/>
            <w:vAlign w:val="bottom"/>
          </w:tcPr>
          <w:p>
            <w:pPr>
              <w:ind w:left="60"/>
              <w:spacing w:after="0"/>
              <w:rPr>
                <w:sz w:val="20"/>
                <w:szCs w:val="20"/>
                <w:color w:val="auto"/>
              </w:rPr>
            </w:pPr>
            <w:r>
              <w:rPr>
                <w:rFonts w:ascii="Courier New" w:cs="Courier New" w:eastAsia="Courier New" w:hAnsi="Courier New"/>
                <w:sz w:val="17"/>
                <w:szCs w:val="17"/>
                <w:color w:val="auto"/>
              </w:rPr>
              <w:t>PER</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AGGREGATE</w:t>
            </w:r>
          </w:p>
        </w:tc>
        <w:tc>
          <w:tcPr>
            <w:tcW w:w="298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8"/>
              </w:rPr>
              <w:t>OFFERING REGISTRATION FEE (1)</w:t>
            </w:r>
          </w:p>
        </w:tc>
      </w:tr>
      <w:tr>
        <w:trPr>
          <w:trHeight w:val="194"/>
        </w:trPr>
        <w:tc>
          <w:tcPr>
            <w:tcW w:w="2940" w:type="dxa"/>
            <w:vAlign w:val="bottom"/>
          </w:tcPr>
          <w:p>
            <w:pPr>
              <w:ind w:left="820"/>
              <w:spacing w:after="0"/>
              <w:rPr>
                <w:sz w:val="20"/>
                <w:szCs w:val="20"/>
                <w:color w:val="auto"/>
              </w:rPr>
            </w:pPr>
            <w:r>
              <w:rPr>
                <w:rFonts w:ascii="Courier New" w:cs="Courier New" w:eastAsia="Courier New" w:hAnsi="Courier New"/>
                <w:sz w:val="17"/>
                <w:szCs w:val="17"/>
                <w:color w:val="auto"/>
              </w:rPr>
              <w:t>REGISTERED</w:t>
            </w:r>
          </w:p>
        </w:tc>
        <w:tc>
          <w:tcPr>
            <w:tcW w:w="182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9"/>
              </w:rPr>
              <w:t>REGISTERED</w:t>
            </w:r>
          </w:p>
        </w:tc>
        <w:tc>
          <w:tcPr>
            <w:tcW w:w="1660" w:type="dxa"/>
            <w:vAlign w:val="bottom"/>
          </w:tcPr>
          <w:p>
            <w:pPr>
              <w:jc w:val="right"/>
              <w:spacing w:after="0"/>
              <w:rPr>
                <w:sz w:val="20"/>
                <w:szCs w:val="20"/>
                <w:color w:val="auto"/>
              </w:rPr>
            </w:pPr>
            <w:r>
              <w:rPr>
                <w:rFonts w:ascii="Courier New" w:cs="Courier New" w:eastAsia="Courier New" w:hAnsi="Courier New"/>
                <w:sz w:val="17"/>
                <w:szCs w:val="17"/>
                <w:color w:val="auto"/>
              </w:rPr>
              <w:t>SHARE (1)</w:t>
            </w:r>
          </w:p>
        </w:tc>
        <w:tc>
          <w:tcPr>
            <w:tcW w:w="4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PRICE</w:t>
            </w:r>
          </w:p>
        </w:tc>
        <w:tc>
          <w:tcPr>
            <w:tcW w:w="1120" w:type="dxa"/>
            <w:vAlign w:val="bottom"/>
          </w:tcPr>
          <w:p>
            <w:pPr>
              <w:ind w:left="60"/>
              <w:spacing w:after="0"/>
              <w:rPr>
                <w:sz w:val="20"/>
                <w:szCs w:val="20"/>
                <w:color w:val="auto"/>
              </w:rPr>
            </w:pPr>
            <w:r>
              <w:rPr>
                <w:rFonts w:ascii="Courier New" w:cs="Courier New" w:eastAsia="Courier New" w:hAnsi="Courier New"/>
                <w:sz w:val="17"/>
                <w:szCs w:val="17"/>
                <w:color w:val="auto"/>
              </w:rPr>
              <w:t>(1)</w:t>
            </w:r>
          </w:p>
        </w:tc>
        <w:tc>
          <w:tcPr>
            <w:tcW w:w="1860" w:type="dxa"/>
            <w:vAlign w:val="bottom"/>
          </w:tcPr>
          <w:p>
            <w:pPr>
              <w:spacing w:after="0"/>
              <w:rPr>
                <w:sz w:val="16"/>
                <w:szCs w:val="16"/>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5" w:lineRule="exact"/>
        <w:rPr>
          <w:sz w:val="24"/>
          <w:szCs w:val="24"/>
          <w:color w:val="auto"/>
        </w:rPr>
      </w:pPr>
    </w:p>
    <w:tbl>
      <w:tblPr>
        <w:tblLayout w:type="fixed"/>
        <w:tblInd w:w="100" w:type="dxa"/>
        <w:tblCellMar>
          <w:top w:w="0" w:type="dxa"/>
          <w:left w:w="0" w:type="dxa"/>
          <w:bottom w:w="0" w:type="dxa"/>
          <w:right w:w="0" w:type="dxa"/>
        </w:tblCellMar>
      </w:tblPr>
      <w:tr>
        <w:trPr>
          <w:trHeight w:val="193"/>
        </w:trPr>
        <w:tc>
          <w:tcPr>
            <w:tcW w:w="3540" w:type="dxa"/>
            <w:vAlign w:val="bottom"/>
          </w:tcPr>
          <w:p>
            <w:pPr>
              <w:jc w:val="center"/>
              <w:ind w:right="316"/>
              <w:spacing w:after="0"/>
              <w:rPr>
                <w:sz w:val="20"/>
                <w:szCs w:val="20"/>
                <w:color w:val="auto"/>
              </w:rPr>
            </w:pPr>
            <w:r>
              <w:rPr>
                <w:rFonts w:ascii="Courier New" w:cs="Courier New" w:eastAsia="Courier New" w:hAnsi="Courier New"/>
                <w:sz w:val="17"/>
                <w:szCs w:val="17"/>
                <w:color w:val="auto"/>
                <w:w w:val="99"/>
              </w:rPr>
              <w:t>Class B Common Stock, par value</w:t>
            </w:r>
          </w:p>
        </w:tc>
        <w:tc>
          <w:tcPr>
            <w:tcW w:w="168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500,000</w:t>
            </w:r>
          </w:p>
        </w:tc>
        <w:tc>
          <w:tcPr>
            <w:tcW w:w="18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$236.1875</w:t>
            </w:r>
          </w:p>
        </w:tc>
        <w:tc>
          <w:tcPr>
            <w:tcW w:w="22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$118,093,750.00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$40,721.98</w:t>
            </w:r>
          </w:p>
        </w:tc>
      </w:tr>
      <w:tr>
        <w:trPr>
          <w:trHeight w:val="194"/>
        </w:trPr>
        <w:tc>
          <w:tcPr>
            <w:tcW w:w="3540" w:type="dxa"/>
            <w:vAlign w:val="bottom"/>
          </w:tcPr>
          <w:p>
            <w:pPr>
              <w:jc w:val="center"/>
              <w:ind w:right="296"/>
              <w:spacing w:after="0"/>
              <w:rPr>
                <w:sz w:val="20"/>
                <w:szCs w:val="20"/>
                <w:color w:val="auto"/>
              </w:rPr>
            </w:pPr>
            <w:r>
              <w:rPr>
                <w:rFonts w:ascii="Courier New" w:cs="Courier New" w:eastAsia="Courier New" w:hAnsi="Courier New"/>
                <w:sz w:val="17"/>
                <w:szCs w:val="17"/>
                <w:color w:val="auto"/>
                <w:w w:val="99"/>
              </w:rPr>
              <w:t>$1.00 per share</w:t>
            </w:r>
          </w:p>
        </w:tc>
        <w:tc>
          <w:tcPr>
            <w:tcW w:w="16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360" w:type="dxa"/>
            <w:vAlign w:val="bottom"/>
          </w:tcPr>
          <w:p>
            <w:pPr>
              <w:spacing w:after="0"/>
              <w:rPr>
                <w:sz w:val="16"/>
                <w:szCs w:val="16"/>
                <w:color w:val="auto"/>
              </w:rPr>
            </w:pPr>
          </w:p>
        </w:tc>
      </w:tr>
    </w:tbl>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393" w:lineRule="exact"/>
        <w:rPr>
          <w:sz w:val="24"/>
          <w:szCs w:val="24"/>
          <w:color w:val="auto"/>
        </w:rPr>
      </w:pPr>
    </w:p>
    <w:p>
      <w:pPr>
        <w:ind w:left="400" w:right="3620" w:hanging="396"/>
        <w:spacing w:after="0" w:line="241" w:lineRule="auto"/>
        <w:tabs>
          <w:tab w:leader="none" w:pos="4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Pursuant to Rule 457(h) and Rule 457(c), the proposed maximum offering price per share and the registration fee are based on the reported average of the high and low prices for The Washington Post Company Class B Common Stock on the New York Stock Exchange on June 17, 1994.</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1520"/>
          </w:cols>
          <w:pgMar w:left="240" w:top="243" w:right="139" w:bottom="865"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7"/>
          <w:szCs w:val="17"/>
          <w:color w:val="auto"/>
        </w:rPr>
        <w:t>2</w:t>
      </w:r>
    </w:p>
    <w:p>
      <w:pPr>
        <w:spacing w:after="0" w:line="2" w:lineRule="exact"/>
        <w:rPr>
          <w:sz w:val="20"/>
          <w:szCs w:val="20"/>
          <w:color w:val="auto"/>
        </w:rPr>
      </w:pPr>
    </w:p>
    <w:p>
      <w:pPr>
        <w:ind w:left="7380"/>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PART I</w:t>
      </w:r>
    </w:p>
    <w:p>
      <w:pPr>
        <w:spacing w:after="0" w:line="196" w:lineRule="exact"/>
        <w:rPr>
          <w:sz w:val="20"/>
          <w:szCs w:val="20"/>
          <w:color w:val="auto"/>
        </w:rPr>
      </w:pPr>
    </w:p>
    <w:p>
      <w:pPr>
        <w:ind w:left="1220"/>
        <w:spacing w:after="0"/>
        <w:rPr>
          <w:sz w:val="20"/>
          <w:szCs w:val="20"/>
          <w:color w:val="auto"/>
        </w:rPr>
      </w:pPr>
      <w:r>
        <w:rPr>
          <w:rFonts w:ascii="Courier New" w:cs="Courier New" w:eastAsia="Courier New" w:hAnsi="Courier New"/>
          <w:sz w:val="17"/>
          <w:szCs w:val="17"/>
          <w:color w:val="auto"/>
        </w:rPr>
        <w:t>INFORMATION REQUIRED IN THE SECTION 10(a) PROSPECTUS 1/</w:t>
      </w:r>
    </w:p>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6"/>
          <w:szCs w:val="16"/>
          <w:color w:val="auto"/>
        </w:rPr>
        <w:t>PLAN INFORMATION.</w:t>
      </w:r>
    </w:p>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6"/>
          <w:szCs w:val="16"/>
          <w:color w:val="auto"/>
        </w:rPr>
        <w:t>REGISTRANT INFORMATION AND EMPLOYEE PLAN ANNUAL INFORMATION.</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00"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PART II</w:t>
      </w:r>
    </w:p>
    <w:p>
      <w:pPr>
        <w:spacing w:after="0" w:line="196"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INFORMATION REQUIRED IN THE REGISTRATION STATEMENT</w:t>
      </w:r>
    </w:p>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199" w:lineRule="exact"/>
        <w:rPr>
          <w:sz w:val="20"/>
          <w:szCs w:val="20"/>
          <w:color w:val="auto"/>
        </w:rPr>
      </w:pPr>
    </w:p>
    <w:p>
      <w:pPr>
        <w:ind w:right="2219" w:firstLine="1719"/>
        <w:spacing w:after="0" w:line="241" w:lineRule="auto"/>
        <w:rPr>
          <w:sz w:val="20"/>
          <w:szCs w:val="20"/>
          <w:color w:val="auto"/>
        </w:rPr>
      </w:pPr>
      <w:r>
        <w:rPr>
          <w:rFonts w:ascii="Courier New" w:cs="Courier New" w:eastAsia="Courier New" w:hAnsi="Courier New"/>
          <w:sz w:val="17"/>
          <w:szCs w:val="17"/>
          <w:color w:val="auto"/>
        </w:rPr>
        <w:t>The following documents which have heretofore been filed by The Washington Post Company (the "Company") (File No. 1-6714) with the Securities and Exchange Commission (the "Commission") pursuant to the Securities Act of 1933, as amended, or the Securities Exchange Act of 1934, as amended (the "Exchange Act"), as the case may be, are incorporated by reference herein and shall be deemed to be a part hereof:</w:t>
      </w:r>
    </w:p>
    <w:p>
      <w:pPr>
        <w:spacing w:after="0" w:line="201" w:lineRule="exact"/>
        <w:rPr>
          <w:sz w:val="20"/>
          <w:szCs w:val="20"/>
          <w:color w:val="auto"/>
        </w:rPr>
      </w:pPr>
    </w:p>
    <w:p>
      <w:pPr>
        <w:jc w:val="both"/>
        <w:ind w:left="920" w:right="2439" w:firstLine="803"/>
        <w:spacing w:after="0"/>
        <w:tabs>
          <w:tab w:leader="none" w:pos="223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Annual Report on Form 10-K for the fiscal year ended January 2, 1994, relating to the Company's Class B Common Stock, par value $1.00 per share.</w:t>
      </w:r>
    </w:p>
    <w:p>
      <w:pPr>
        <w:spacing w:after="0" w:line="200" w:lineRule="exact"/>
        <w:rPr>
          <w:rFonts w:ascii="Courier New" w:cs="Courier New" w:eastAsia="Courier New" w:hAnsi="Courier New"/>
          <w:sz w:val="17"/>
          <w:szCs w:val="17"/>
          <w:color w:val="auto"/>
        </w:rPr>
      </w:pPr>
    </w:p>
    <w:p>
      <w:pPr>
        <w:ind w:left="920" w:right="2319" w:firstLine="803"/>
        <w:spacing w:after="0"/>
        <w:tabs>
          <w:tab w:leader="none" w:pos="223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other reports filed with the Securities and Exchange Commission pursuant to Section 13(a) or 15(d) of the Exchange Act since January 2, 1994.</w:t>
      </w:r>
    </w:p>
    <w:p>
      <w:pPr>
        <w:spacing w:after="0" w:line="200" w:lineRule="exact"/>
        <w:rPr>
          <w:rFonts w:ascii="Courier New" w:cs="Courier New" w:eastAsia="Courier New" w:hAnsi="Courier New"/>
          <w:sz w:val="17"/>
          <w:szCs w:val="17"/>
          <w:color w:val="auto"/>
        </w:rPr>
      </w:pPr>
    </w:p>
    <w:p>
      <w:pPr>
        <w:ind w:left="920" w:right="2539" w:firstLine="803"/>
        <w:spacing w:after="0" w:line="241" w:lineRule="auto"/>
        <w:tabs>
          <w:tab w:leader="none" w:pos="223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description of the Company's Class B Common Stock contained in the Company's Registration Statement on Form 8-A filed under the Exchange Act, dated January 1, 1990, including any amendments or reports filed for the purposes of updating such description.</w:t>
      </w:r>
    </w:p>
    <w:p>
      <w:pPr>
        <w:spacing w:after="0" w:line="200" w:lineRule="exact"/>
        <w:rPr>
          <w:sz w:val="20"/>
          <w:szCs w:val="20"/>
          <w:color w:val="auto"/>
        </w:rPr>
      </w:pPr>
    </w:p>
    <w:p>
      <w:pPr>
        <w:ind w:right="2219" w:firstLine="1719"/>
        <w:spacing w:after="0" w:line="241" w:lineRule="auto"/>
        <w:rPr>
          <w:sz w:val="20"/>
          <w:szCs w:val="20"/>
          <w:color w:val="auto"/>
        </w:rPr>
      </w:pPr>
      <w:r>
        <w:rPr>
          <w:rFonts w:ascii="Courier New" w:cs="Courier New" w:eastAsia="Courier New" w:hAnsi="Courier New"/>
          <w:sz w:val="17"/>
          <w:szCs w:val="17"/>
          <w:color w:val="auto"/>
        </w:rPr>
        <w:t>All documents filed by the Company with the Commission pursuant to Sections 13(a), 13(c), 14 or 15(d) of the Exchange Act prior to the filing of a post-effective amendment to this Registration Statement which indicates that all securities offered have been sold or which deregisters all securities then remaining unsold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9" w:lineRule="exact"/>
        <w:rPr>
          <w:sz w:val="20"/>
          <w:szCs w:val="20"/>
          <w:color w:val="auto"/>
        </w:rPr>
      </w:pPr>
    </w:p>
    <w:p>
      <w:pPr>
        <w:ind w:right="3639" w:firstLine="505"/>
        <w:spacing w:after="0" w:line="269" w:lineRule="auto"/>
        <w:rPr>
          <w:sz w:val="20"/>
          <w:szCs w:val="20"/>
          <w:color w:val="auto"/>
        </w:rPr>
      </w:pPr>
      <w:r>
        <w:rPr>
          <w:rFonts w:ascii="Courier New" w:cs="Courier New" w:eastAsia="Courier New" w:hAnsi="Courier New"/>
          <w:sz w:val="16"/>
          <w:szCs w:val="16"/>
          <w:color w:val="auto"/>
        </w:rPr>
        <w:t>1/ This information is not required to be included in, and is not incorporated by reference in, this Registration Statement.</w:t>
      </w:r>
    </w:p>
    <w:p>
      <w:pPr>
        <w:sectPr>
          <w:pgSz w:w="11900" w:h="16838" w:orient="portrait"/>
          <w:cols w:equalWidth="0" w:num="1">
            <w:col w:w="10219"/>
          </w:cols>
          <w:pgMar w:left="240" w:top="308"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7"/>
          <w:szCs w:val="17"/>
          <w:color w:val="auto"/>
        </w:rPr>
        <w:t>3</w:t>
      </w:r>
    </w:p>
    <w:p>
      <w:pPr>
        <w:spacing w:after="0" w:line="2"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3</w:t>
      </w:r>
    </w:p>
    <w:p>
      <w:pPr>
        <w:spacing w:after="0" w:line="393"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deemed to be incorporated by reference in this Registration Statement and made a part hereof from their respective dates of filing (such documents, and the documents enumerated above, being hereinafter referred to as "Incorporated Documents").</w:t>
      </w:r>
    </w:p>
    <w:p>
      <w:pPr>
        <w:spacing w:after="0" w:line="199" w:lineRule="exact"/>
        <w:rPr>
          <w:sz w:val="20"/>
          <w:szCs w:val="20"/>
          <w:color w:val="auto"/>
        </w:rPr>
      </w:pPr>
    </w:p>
    <w:p>
      <w:pPr>
        <w:ind w:right="2219" w:firstLine="1719"/>
        <w:spacing w:after="0" w:line="259" w:lineRule="auto"/>
        <w:rPr>
          <w:sz w:val="20"/>
          <w:szCs w:val="20"/>
          <w:color w:val="auto"/>
        </w:rPr>
      </w:pPr>
      <w:r>
        <w:rPr>
          <w:rFonts w:ascii="Courier New" w:cs="Courier New" w:eastAsia="Courier New" w:hAnsi="Courier New"/>
          <w:sz w:val="16"/>
          <w:szCs w:val="16"/>
          <w:color w:val="auto"/>
        </w:rPr>
        <w:t>Any statement contained in an Incorporated Document shall be deemed to be modified or superseded for purposes of this Registration Statement to the extent that a statement contained herein or in any other subsequently filed Incorporated Document modifies or supersedes such statement. Any such statement so modified or superseded shall not be deemed, except as so modified or superseded, to constitute a part of this Registration Statement.</w:t>
      </w:r>
    </w:p>
    <w:p>
      <w:pPr>
        <w:spacing w:after="0" w:line="188" w:lineRule="exact"/>
        <w:rPr>
          <w:sz w:val="20"/>
          <w:szCs w:val="20"/>
          <w:color w:val="auto"/>
        </w:rPr>
      </w:pPr>
    </w:p>
    <w:p>
      <w:pPr>
        <w:ind w:right="2319" w:firstLine="1719"/>
        <w:spacing w:after="0" w:line="241" w:lineRule="auto"/>
        <w:rPr>
          <w:sz w:val="20"/>
          <w:szCs w:val="20"/>
          <w:color w:val="auto"/>
        </w:rPr>
      </w:pPr>
      <w:r>
        <w:rPr>
          <w:rFonts w:ascii="Courier New" w:cs="Courier New" w:eastAsia="Courier New" w:hAnsi="Courier New"/>
          <w:sz w:val="17"/>
          <w:szCs w:val="17"/>
          <w:color w:val="auto"/>
        </w:rPr>
        <w:t>The contents of the Company's Registration Statement on Form S-8 (Registration No. 2-42170), as amended, filed with the Commission on October 21, 1971, is hereby incorporated by reference in this Registration Statement. This Registration Statement is being filed with the Commission for the purpose of registering additional shares of the Company's Class B Common Stock issuable under the Company's Stock Option Plan.</w:t>
      </w:r>
    </w:p>
    <w:p>
      <w:pPr>
        <w:spacing w:after="0" w:line="393"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196" w:lineRule="exact"/>
        <w:rPr>
          <w:sz w:val="20"/>
          <w:szCs w:val="20"/>
          <w:color w:val="auto"/>
        </w:rPr>
      </w:pPr>
    </w:p>
    <w:p>
      <w:pPr>
        <w:ind w:left="1720"/>
        <w:spacing w:after="0"/>
        <w:rPr>
          <w:sz w:val="20"/>
          <w:szCs w:val="20"/>
          <w:color w:val="auto"/>
        </w:rPr>
      </w:pPr>
      <w:r>
        <w:rPr>
          <w:rFonts w:ascii="Courier New" w:cs="Courier New" w:eastAsia="Courier New" w:hAnsi="Courier New"/>
          <w:sz w:val="17"/>
          <w:szCs w:val="17"/>
          <w:color w:val="auto"/>
        </w:rPr>
        <w:t>Not applicable.</w:t>
      </w:r>
    </w:p>
    <w:p>
      <w:pPr>
        <w:spacing w:after="0" w:line="391" w:lineRule="exact"/>
        <w:rPr>
          <w:sz w:val="20"/>
          <w:szCs w:val="20"/>
          <w:color w:val="auto"/>
        </w:rPr>
      </w:pPr>
    </w:p>
    <w:p>
      <w:pPr>
        <w:jc w:val="center"/>
        <w:ind w:right="5359"/>
        <w:spacing w:after="0"/>
        <w:tabs>
          <w:tab w:leader="none" w:pos="18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196" w:lineRule="exact"/>
        <w:rPr>
          <w:sz w:val="20"/>
          <w:szCs w:val="20"/>
          <w:color w:val="auto"/>
        </w:rPr>
      </w:pPr>
    </w:p>
    <w:p>
      <w:pPr>
        <w:ind w:left="1720"/>
        <w:spacing w:after="0"/>
        <w:rPr>
          <w:sz w:val="20"/>
          <w:szCs w:val="20"/>
          <w:color w:val="auto"/>
        </w:rPr>
      </w:pPr>
      <w:r>
        <w:rPr>
          <w:rFonts w:ascii="Courier New" w:cs="Courier New" w:eastAsia="Courier New" w:hAnsi="Courier New"/>
          <w:sz w:val="17"/>
          <w:szCs w:val="17"/>
          <w:color w:val="auto"/>
        </w:rPr>
        <w:t>Not applicable.</w:t>
      </w:r>
    </w:p>
    <w:p>
      <w:pPr>
        <w:spacing w:after="0" w:line="391"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199" w:lineRule="exact"/>
        <w:rPr>
          <w:sz w:val="20"/>
          <w:szCs w:val="20"/>
          <w:color w:val="auto"/>
        </w:rPr>
      </w:pPr>
    </w:p>
    <w:p>
      <w:pPr>
        <w:ind w:right="2219" w:firstLine="1719"/>
        <w:spacing w:after="0" w:line="242" w:lineRule="auto"/>
        <w:rPr>
          <w:sz w:val="20"/>
          <w:szCs w:val="20"/>
          <w:color w:val="auto"/>
        </w:rPr>
      </w:pPr>
      <w:r>
        <w:rPr>
          <w:rFonts w:ascii="Courier New" w:cs="Courier New" w:eastAsia="Courier New" w:hAnsi="Courier New"/>
          <w:sz w:val="17"/>
          <w:szCs w:val="17"/>
          <w:color w:val="auto"/>
        </w:rPr>
        <w:t>Article NINTH of the Certificate of Incorporation of the Company provides that the personal liability of the directors of the Company shall be limited to the fullest extent permitted by applicable law. Section 145 of the Delaware General Corporation Law ("DGCL") permits a corporation's certificate of incorporation to provide that no director of the corporation shall be personally liable to the corporation or its stockholders for monetary damages for any breach of his fiduciary duty as a director; provided, however, that, pursuant to Section 102(b)(7) of the DGCL, such provision shall not apply to any liability of a director (1) for any breach of a director's duty of loyalty to the corporation or its stockholders, (2) for acts or omissions that are not in good faith or involve intentional misconduct or a knowing violation of the law, (3) under</w:t>
      </w:r>
    </w:p>
    <w:p>
      <w:pPr>
        <w:sectPr>
          <w:pgSz w:w="11900" w:h="16838" w:orient="portrait"/>
          <w:cols w:equalWidth="0" w:num="1">
            <w:col w:w="10219"/>
          </w:cols>
          <w:pgMar w:left="240" w:top="308"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7"/>
          <w:szCs w:val="17"/>
          <w:color w:val="auto"/>
        </w:rPr>
        <w:t>4</w:t>
      </w:r>
    </w:p>
    <w:p>
      <w:pPr>
        <w:spacing w:after="0" w:line="2"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4</w:t>
      </w:r>
    </w:p>
    <w:p>
      <w:pPr>
        <w:spacing w:after="0" w:line="393" w:lineRule="exact"/>
        <w:rPr>
          <w:sz w:val="20"/>
          <w:szCs w:val="20"/>
          <w:color w:val="auto"/>
        </w:rPr>
      </w:pPr>
    </w:p>
    <w:p>
      <w:pPr>
        <w:ind w:right="2739"/>
        <w:spacing w:after="0" w:line="239" w:lineRule="auto"/>
        <w:rPr>
          <w:sz w:val="20"/>
          <w:szCs w:val="20"/>
          <w:color w:val="auto"/>
        </w:rPr>
      </w:pPr>
      <w:r>
        <w:rPr>
          <w:rFonts w:ascii="Courier New" w:cs="Courier New" w:eastAsia="Courier New" w:hAnsi="Courier New"/>
          <w:sz w:val="17"/>
          <w:szCs w:val="17"/>
          <w:color w:val="auto"/>
        </w:rPr>
        <w:t>Section 174 of the DGCL or (4) for any transaction from which the director derived an improper personal benefit.</w:t>
      </w:r>
    </w:p>
    <w:p>
      <w:pPr>
        <w:spacing w:after="0" w:line="392"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196" w:lineRule="exact"/>
        <w:rPr>
          <w:sz w:val="20"/>
          <w:szCs w:val="20"/>
          <w:color w:val="auto"/>
        </w:rPr>
      </w:pPr>
    </w:p>
    <w:p>
      <w:pPr>
        <w:ind w:left="1720"/>
        <w:spacing w:after="0"/>
        <w:rPr>
          <w:sz w:val="20"/>
          <w:szCs w:val="20"/>
          <w:color w:val="auto"/>
        </w:rPr>
      </w:pPr>
      <w:r>
        <w:rPr>
          <w:rFonts w:ascii="Courier New" w:cs="Courier New" w:eastAsia="Courier New" w:hAnsi="Courier New"/>
          <w:sz w:val="17"/>
          <w:szCs w:val="17"/>
          <w:color w:val="auto"/>
        </w:rPr>
        <w:t>Not applicable.</w:t>
      </w:r>
    </w:p>
    <w:p>
      <w:pPr>
        <w:spacing w:after="0" w:line="391"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20" w:type="dxa"/>
            <w:vAlign w:val="bottom"/>
          </w:tcPr>
          <w:p>
            <w:pPr>
              <w:spacing w:after="0"/>
              <w:rPr>
                <w:sz w:val="20"/>
                <w:szCs w:val="20"/>
                <w:color w:val="auto"/>
              </w:rPr>
            </w:pPr>
            <w:r>
              <w:rPr>
                <w:rFonts w:ascii="Courier New" w:cs="Courier New" w:eastAsia="Courier New" w:hAnsi="Courier New"/>
                <w:sz w:val="17"/>
                <w:szCs w:val="17"/>
                <w:color w:val="auto"/>
              </w:rPr>
              <w:t>Exhibit</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300" w:type="dxa"/>
            <w:vAlign w:val="bottom"/>
          </w:tcPr>
          <w:p>
            <w:pPr>
              <w:spacing w:after="0"/>
              <w:rPr>
                <w:sz w:val="16"/>
                <w:szCs w:val="16"/>
                <w:color w:val="auto"/>
              </w:rPr>
            </w:pPr>
          </w:p>
        </w:tc>
      </w:tr>
      <w:tr>
        <w:trPr>
          <w:trHeight w:val="194"/>
        </w:trPr>
        <w:tc>
          <w:tcPr>
            <w:tcW w:w="1020" w:type="dxa"/>
            <w:vAlign w:val="bottom"/>
          </w:tcPr>
          <w:p>
            <w:pPr>
              <w:spacing w:after="0"/>
              <w:rPr>
                <w:sz w:val="20"/>
                <w:szCs w:val="20"/>
                <w:color w:val="auto"/>
              </w:rPr>
            </w:pPr>
            <w:r>
              <w:rPr>
                <w:rFonts w:ascii="Courier New" w:cs="Courier New" w:eastAsia="Courier New" w:hAnsi="Courier New"/>
                <w:sz w:val="17"/>
                <w:szCs w:val="17"/>
                <w:color w:val="auto"/>
              </w:rPr>
              <w:t>Number</w:t>
            </w:r>
          </w:p>
        </w:tc>
        <w:tc>
          <w:tcPr>
            <w:tcW w:w="146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Description</w:t>
            </w:r>
          </w:p>
        </w:tc>
        <w:tc>
          <w:tcPr>
            <w:tcW w:w="5300" w:type="dxa"/>
            <w:vAlign w:val="bottom"/>
          </w:tcPr>
          <w:p>
            <w:pPr>
              <w:spacing w:after="0"/>
              <w:rPr>
                <w:sz w:val="16"/>
                <w:szCs w:val="16"/>
                <w:color w:val="auto"/>
              </w:rPr>
            </w:pPr>
          </w:p>
        </w:tc>
      </w:tr>
      <w:tr>
        <w:trPr>
          <w:trHeight w:val="194"/>
        </w:trPr>
        <w:tc>
          <w:tcPr>
            <w:tcW w:w="10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00" w:type="dxa"/>
            <w:vAlign w:val="bottom"/>
          </w:tcPr>
          <w:p>
            <w:pPr>
              <w:spacing w:after="0"/>
              <w:rPr>
                <w:sz w:val="16"/>
                <w:szCs w:val="16"/>
                <w:color w:val="auto"/>
              </w:rPr>
            </w:pPr>
          </w:p>
        </w:tc>
        <w:tc>
          <w:tcPr>
            <w:tcW w:w="11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5300" w:type="dxa"/>
            <w:vAlign w:val="bottom"/>
          </w:tcPr>
          <w:p>
            <w:pPr>
              <w:spacing w:after="0"/>
              <w:rPr>
                <w:sz w:val="16"/>
                <w:szCs w:val="16"/>
                <w:color w:val="auto"/>
              </w:rPr>
            </w:pPr>
          </w:p>
        </w:tc>
      </w:tr>
      <w:tr>
        <w:trPr>
          <w:trHeight w:val="389"/>
        </w:trPr>
        <w:tc>
          <w:tcPr>
            <w:tcW w:w="1020" w:type="dxa"/>
            <w:vAlign w:val="bottom"/>
          </w:tcPr>
          <w:p>
            <w:pPr>
              <w:spacing w:after="0"/>
              <w:rPr>
                <w:sz w:val="20"/>
                <w:szCs w:val="20"/>
                <w:color w:val="auto"/>
              </w:rPr>
            </w:pPr>
            <w:r>
              <w:rPr>
                <w:rFonts w:ascii="Courier New" w:cs="Courier New" w:eastAsia="Courier New" w:hAnsi="Courier New"/>
                <w:sz w:val="17"/>
                <w:szCs w:val="17"/>
                <w:color w:val="auto"/>
              </w:rPr>
              <w:t>3(a)</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w w:val="87"/>
              </w:rPr>
              <w:t>--</w:t>
            </w:r>
          </w:p>
        </w:tc>
        <w:tc>
          <w:tcPr>
            <w:tcW w:w="646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Certificate of Incorporation of the Company, as amended</w:t>
            </w:r>
          </w:p>
        </w:tc>
      </w:tr>
      <w:tr>
        <w:trPr>
          <w:trHeight w:val="194"/>
        </w:trPr>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ind w:left="400"/>
              <w:spacing w:after="0"/>
              <w:rPr>
                <w:sz w:val="20"/>
                <w:szCs w:val="20"/>
                <w:color w:val="auto"/>
              </w:rPr>
            </w:pPr>
            <w:r>
              <w:rPr>
                <w:rFonts w:ascii="Courier New" w:cs="Courier New" w:eastAsia="Courier New" w:hAnsi="Courier New"/>
                <w:sz w:val="17"/>
                <w:szCs w:val="17"/>
                <w:color w:val="auto"/>
              </w:rPr>
              <w:t>through</w:t>
            </w:r>
          </w:p>
        </w:tc>
        <w:tc>
          <w:tcPr>
            <w:tcW w:w="5300" w:type="dxa"/>
            <w:vAlign w:val="bottom"/>
          </w:tcPr>
          <w:p>
            <w:pPr>
              <w:ind w:left="60"/>
              <w:spacing w:after="0"/>
              <w:rPr>
                <w:sz w:val="20"/>
                <w:szCs w:val="20"/>
                <w:color w:val="auto"/>
              </w:rPr>
            </w:pPr>
            <w:r>
              <w:rPr>
                <w:rFonts w:ascii="Courier New" w:cs="Courier New" w:eastAsia="Courier New" w:hAnsi="Courier New"/>
                <w:sz w:val="17"/>
                <w:szCs w:val="17"/>
                <w:color w:val="auto"/>
                <w:w w:val="98"/>
              </w:rPr>
              <w:t>May 12, 1988 (included as Exhibit 3 to the Company's</w:t>
            </w:r>
          </w:p>
        </w:tc>
      </w:tr>
      <w:tr>
        <w:trPr>
          <w:trHeight w:val="194"/>
        </w:trPr>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6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Form 8-K filed with the Commission on May 31, 1988). 2/</w:t>
            </w:r>
          </w:p>
        </w:tc>
      </w:tr>
      <w:tr>
        <w:trPr>
          <w:trHeight w:val="389"/>
        </w:trPr>
        <w:tc>
          <w:tcPr>
            <w:tcW w:w="1020" w:type="dxa"/>
            <w:vAlign w:val="bottom"/>
          </w:tcPr>
          <w:p>
            <w:pPr>
              <w:spacing w:after="0"/>
              <w:rPr>
                <w:sz w:val="20"/>
                <w:szCs w:val="20"/>
                <w:color w:val="auto"/>
              </w:rPr>
            </w:pPr>
            <w:r>
              <w:rPr>
                <w:rFonts w:ascii="Courier New" w:cs="Courier New" w:eastAsia="Courier New" w:hAnsi="Courier New"/>
                <w:sz w:val="17"/>
                <w:szCs w:val="17"/>
                <w:color w:val="auto"/>
              </w:rPr>
              <w:t>3(b)</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w w:val="87"/>
              </w:rPr>
              <w:t>--</w:t>
            </w:r>
          </w:p>
        </w:tc>
        <w:tc>
          <w:tcPr>
            <w:tcW w:w="1160" w:type="dxa"/>
            <w:vAlign w:val="bottom"/>
          </w:tcPr>
          <w:p>
            <w:pPr>
              <w:ind w:left="400"/>
              <w:spacing w:after="0"/>
              <w:rPr>
                <w:sz w:val="20"/>
                <w:szCs w:val="20"/>
                <w:color w:val="auto"/>
              </w:rPr>
            </w:pPr>
            <w:r>
              <w:rPr>
                <w:rFonts w:ascii="Courier New" w:cs="Courier New" w:eastAsia="Courier New" w:hAnsi="Courier New"/>
                <w:sz w:val="17"/>
                <w:szCs w:val="17"/>
                <w:color w:val="auto"/>
              </w:rPr>
              <w:t>By-laws</w:t>
            </w:r>
          </w:p>
        </w:tc>
        <w:tc>
          <w:tcPr>
            <w:tcW w:w="5300" w:type="dxa"/>
            <w:vAlign w:val="bottom"/>
          </w:tcPr>
          <w:p>
            <w:pPr>
              <w:ind w:left="60"/>
              <w:spacing w:after="0"/>
              <w:rPr>
                <w:sz w:val="20"/>
                <w:szCs w:val="20"/>
                <w:color w:val="auto"/>
              </w:rPr>
            </w:pPr>
            <w:r>
              <w:rPr>
                <w:rFonts w:ascii="Courier New" w:cs="Courier New" w:eastAsia="Courier New" w:hAnsi="Courier New"/>
                <w:sz w:val="17"/>
                <w:szCs w:val="17"/>
                <w:color w:val="auto"/>
                <w:w w:val="98"/>
              </w:rPr>
              <w:t>of the Company, as amended through September 9, 1993</w:t>
            </w:r>
          </w:p>
        </w:tc>
      </w:tr>
      <w:tr>
        <w:trPr>
          <w:trHeight w:val="194"/>
        </w:trPr>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6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(included as Exhibit 3 to the Company's Form 10-Q for the</w:t>
            </w:r>
          </w:p>
        </w:tc>
      </w:tr>
      <w:tr>
        <w:trPr>
          <w:trHeight w:val="194"/>
        </w:trPr>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ind w:left="400"/>
              <w:spacing w:after="0"/>
              <w:rPr>
                <w:sz w:val="20"/>
                <w:szCs w:val="20"/>
                <w:color w:val="auto"/>
              </w:rPr>
            </w:pPr>
            <w:r>
              <w:rPr>
                <w:rFonts w:ascii="Courier New" w:cs="Courier New" w:eastAsia="Courier New" w:hAnsi="Courier New"/>
                <w:sz w:val="17"/>
                <w:szCs w:val="17"/>
                <w:color w:val="auto"/>
              </w:rPr>
              <w:t>quarter</w:t>
            </w:r>
          </w:p>
        </w:tc>
        <w:tc>
          <w:tcPr>
            <w:tcW w:w="5300" w:type="dxa"/>
            <w:vAlign w:val="bottom"/>
          </w:tcPr>
          <w:p>
            <w:pPr>
              <w:ind w:left="60"/>
              <w:spacing w:after="0"/>
              <w:rPr>
                <w:sz w:val="20"/>
                <w:szCs w:val="20"/>
                <w:color w:val="auto"/>
              </w:rPr>
            </w:pPr>
            <w:r>
              <w:rPr>
                <w:rFonts w:ascii="Courier New" w:cs="Courier New" w:eastAsia="Courier New" w:hAnsi="Courier New"/>
                <w:sz w:val="17"/>
                <w:szCs w:val="17"/>
                <w:color w:val="auto"/>
              </w:rPr>
              <w:t>ended October 3, 1993). 2/</w:t>
            </w:r>
          </w:p>
        </w:tc>
      </w:tr>
    </w:tbl>
    <w:p>
      <w:pPr>
        <w:spacing w:after="0" w:line="199" w:lineRule="exact"/>
        <w:rPr>
          <w:sz w:val="20"/>
          <w:szCs w:val="20"/>
          <w:color w:val="auto"/>
        </w:rPr>
      </w:pPr>
    </w:p>
    <w:p>
      <w:pPr>
        <w:ind w:left="1720" w:right="2319" w:hanging="1716"/>
        <w:spacing w:after="0" w:line="263" w:lineRule="auto"/>
        <w:tabs>
          <w:tab w:leader="none" w:pos="111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r>
        <w:rPr>
          <w:rFonts w:ascii="Courier New" w:cs="Courier New" w:eastAsia="Courier New" w:hAnsi="Courier New"/>
          <w:sz w:val="16"/>
          <w:szCs w:val="16"/>
          <w:color w:val="auto"/>
        </w:rPr>
        <w:t>The Washington Post Company Stock Option Plan, as amended and restated through May 13, 1993 (included as Exhibit 10 to the Company's Form 10-Q for the quarter ended April 4, 1993). 2/</w:t>
      </w:r>
    </w:p>
    <w:p>
      <w:pPr>
        <w:spacing w:after="0" w:line="182" w:lineRule="exact"/>
        <w:rPr>
          <w:sz w:val="20"/>
          <w:szCs w:val="20"/>
          <w:color w:val="auto"/>
        </w:rPr>
      </w:pPr>
    </w:p>
    <w:p>
      <w:pPr>
        <w:ind w:left="1720" w:right="2739" w:hanging="1716"/>
        <w:spacing w:after="0" w:line="269" w:lineRule="auto"/>
        <w:tabs>
          <w:tab w:leader="none" w:pos="1113"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r>
        <w:rPr>
          <w:rFonts w:ascii="Courier New" w:cs="Courier New" w:eastAsia="Courier New" w:hAnsi="Courier New"/>
          <w:sz w:val="16"/>
          <w:szCs w:val="16"/>
          <w:color w:val="auto"/>
        </w:rPr>
        <w:t>Opinion of Cravath, Swaine &amp; Moore as to the legality of securities offered under the Company's Stock Option Plan.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0" w:type="dxa"/>
            <w:vAlign w:val="bottom"/>
          </w:tcPr>
          <w:p>
            <w:pPr>
              <w:spacing w:after="0"/>
              <w:rPr>
                <w:sz w:val="20"/>
                <w:szCs w:val="20"/>
                <w:color w:val="auto"/>
              </w:rPr>
            </w:pPr>
            <w:r>
              <w:rPr>
                <w:rFonts w:ascii="Courier New" w:cs="Courier New" w:eastAsia="Courier New" w:hAnsi="Courier New"/>
                <w:sz w:val="17"/>
                <w:szCs w:val="17"/>
                <w:color w:val="auto"/>
              </w:rPr>
              <w:t>23(a)</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ind w:left="200"/>
              <w:spacing w:after="0"/>
              <w:rPr>
                <w:sz w:val="20"/>
                <w:szCs w:val="20"/>
                <w:color w:val="auto"/>
              </w:rPr>
            </w:pPr>
            <w:r>
              <w:rPr>
                <w:rFonts w:ascii="Courier New" w:cs="Courier New" w:eastAsia="Courier New" w:hAnsi="Courier New"/>
                <w:sz w:val="17"/>
                <w:szCs w:val="17"/>
                <w:color w:val="auto"/>
              </w:rPr>
              <w:t>Consent</w:t>
            </w:r>
          </w:p>
        </w:tc>
        <w:tc>
          <w:tcPr>
            <w:tcW w:w="5100" w:type="dxa"/>
            <w:vAlign w:val="bottom"/>
          </w:tcPr>
          <w:p>
            <w:pPr>
              <w:ind w:left="60"/>
              <w:spacing w:after="0"/>
              <w:rPr>
                <w:sz w:val="20"/>
                <w:szCs w:val="20"/>
                <w:color w:val="auto"/>
              </w:rPr>
            </w:pPr>
            <w:r>
              <w:rPr>
                <w:rFonts w:ascii="Courier New" w:cs="Courier New" w:eastAsia="Courier New" w:hAnsi="Courier New"/>
                <w:sz w:val="17"/>
                <w:szCs w:val="17"/>
                <w:color w:val="auto"/>
              </w:rPr>
              <w:t>of Independent Accountants.</w:t>
            </w:r>
          </w:p>
        </w:tc>
      </w:tr>
      <w:tr>
        <w:trPr>
          <w:trHeight w:val="389"/>
        </w:trPr>
        <w:tc>
          <w:tcPr>
            <w:tcW w:w="820" w:type="dxa"/>
            <w:vAlign w:val="bottom"/>
          </w:tcPr>
          <w:p>
            <w:pPr>
              <w:spacing w:after="0"/>
              <w:rPr>
                <w:sz w:val="20"/>
                <w:szCs w:val="20"/>
                <w:color w:val="auto"/>
              </w:rPr>
            </w:pPr>
            <w:r>
              <w:rPr>
                <w:rFonts w:ascii="Courier New" w:cs="Courier New" w:eastAsia="Courier New" w:hAnsi="Courier New"/>
                <w:sz w:val="17"/>
                <w:szCs w:val="17"/>
                <w:color w:val="auto"/>
              </w:rPr>
              <w:t>23(b)</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ind w:left="200"/>
              <w:spacing w:after="0"/>
              <w:rPr>
                <w:sz w:val="20"/>
                <w:szCs w:val="20"/>
                <w:color w:val="auto"/>
              </w:rPr>
            </w:pPr>
            <w:r>
              <w:rPr>
                <w:rFonts w:ascii="Courier New" w:cs="Courier New" w:eastAsia="Courier New" w:hAnsi="Courier New"/>
                <w:sz w:val="17"/>
                <w:szCs w:val="17"/>
                <w:color w:val="auto"/>
              </w:rPr>
              <w:t>Consent</w:t>
            </w:r>
          </w:p>
        </w:tc>
        <w:tc>
          <w:tcPr>
            <w:tcW w:w="5100" w:type="dxa"/>
            <w:vAlign w:val="bottom"/>
          </w:tcPr>
          <w:p>
            <w:pPr>
              <w:ind w:left="60"/>
              <w:spacing w:after="0"/>
              <w:rPr>
                <w:sz w:val="20"/>
                <w:szCs w:val="20"/>
                <w:color w:val="auto"/>
              </w:rPr>
            </w:pPr>
            <w:r>
              <w:rPr>
                <w:rFonts w:ascii="Courier New" w:cs="Courier New" w:eastAsia="Courier New" w:hAnsi="Courier New"/>
                <w:sz w:val="17"/>
                <w:szCs w:val="17"/>
                <w:color w:val="auto"/>
                <w:w w:val="98"/>
              </w:rPr>
              <w:t>of Cravath, Swaine &amp; Moore (contained in Exhibit 5</w:t>
            </w:r>
          </w:p>
        </w:tc>
      </w:tr>
      <w:tr>
        <w:trPr>
          <w:trHeight w:val="194"/>
        </w:trPr>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6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hereto).</w:t>
            </w:r>
          </w:p>
        </w:tc>
      </w:tr>
      <w:tr>
        <w:trPr>
          <w:trHeight w:val="389"/>
        </w:trPr>
        <w:tc>
          <w:tcPr>
            <w:tcW w:w="820" w:type="dxa"/>
            <w:vAlign w:val="bottom"/>
          </w:tcPr>
          <w:p>
            <w:pPr>
              <w:spacing w:after="0"/>
              <w:rPr>
                <w:sz w:val="20"/>
                <w:szCs w:val="20"/>
                <w:color w:val="auto"/>
              </w:rPr>
            </w:pPr>
            <w:r>
              <w:rPr>
                <w:rFonts w:ascii="Courier New" w:cs="Courier New" w:eastAsia="Courier New" w:hAnsi="Courier New"/>
                <w:sz w:val="17"/>
                <w:szCs w:val="17"/>
                <w:color w:val="auto"/>
              </w:rPr>
              <w:t>24</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606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Power of Attorney.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2/ Incorporated by reference.</w:t>
      </w:r>
    </w:p>
    <w:p>
      <w:pPr>
        <w:sectPr>
          <w:pgSz w:w="11900" w:h="16838" w:orient="portrait"/>
          <w:cols w:equalWidth="0" w:num="1">
            <w:col w:w="10219"/>
          </w:cols>
          <w:pgMar w:left="240" w:top="308" w:right="1440"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7"/>
          <w:szCs w:val="17"/>
          <w:color w:val="auto"/>
        </w:rPr>
        <w:t>5</w:t>
      </w:r>
    </w:p>
    <w:p>
      <w:pPr>
        <w:spacing w:after="0" w:line="2"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5</w:t>
      </w:r>
    </w:p>
    <w:p>
      <w:pPr>
        <w:spacing w:after="0" w:line="391"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196" w:lineRule="exact"/>
        <w:rPr>
          <w:sz w:val="20"/>
          <w:szCs w:val="20"/>
          <w:color w:val="auto"/>
        </w:rPr>
      </w:pPr>
    </w:p>
    <w:p>
      <w:pPr>
        <w:ind w:left="2220" w:hanging="497"/>
        <w:spacing w:after="0"/>
        <w:tabs>
          <w:tab w:leader="none" w:pos="22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w:t>
      </w:r>
    </w:p>
    <w:p>
      <w:pPr>
        <w:spacing w:after="0" w:line="199" w:lineRule="exact"/>
        <w:rPr>
          <w:sz w:val="20"/>
          <w:szCs w:val="20"/>
          <w:color w:val="auto"/>
        </w:rPr>
      </w:pPr>
    </w:p>
    <w:p>
      <w:pPr>
        <w:ind w:left="920" w:right="2219" w:firstLine="803"/>
        <w:spacing w:after="0" w:line="269" w:lineRule="auto"/>
        <w:tabs>
          <w:tab w:leader="none" w:pos="213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77" w:lineRule="exact"/>
        <w:rPr>
          <w:sz w:val="20"/>
          <w:szCs w:val="20"/>
          <w:color w:val="auto"/>
        </w:rPr>
      </w:pPr>
    </w:p>
    <w:p>
      <w:pPr>
        <w:ind w:left="920" w:right="2319" w:firstLine="803"/>
        <w:spacing w:after="0" w:line="239" w:lineRule="auto"/>
        <w:tabs>
          <w:tab w:leader="none" w:pos="2133"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prospectus required by Section 10(a)(3) of the Securities Act of 1933;</w:t>
      </w:r>
    </w:p>
    <w:p>
      <w:pPr>
        <w:spacing w:after="0" w:line="199" w:lineRule="exact"/>
        <w:rPr>
          <w:rFonts w:ascii="Courier New" w:cs="Courier New" w:eastAsia="Courier New" w:hAnsi="Courier New"/>
          <w:sz w:val="17"/>
          <w:szCs w:val="17"/>
          <w:color w:val="auto"/>
        </w:rPr>
      </w:pPr>
    </w:p>
    <w:p>
      <w:pPr>
        <w:jc w:val="both"/>
        <w:ind w:left="920" w:right="2219" w:firstLine="803"/>
        <w:spacing w:after="0" w:line="241" w:lineRule="auto"/>
        <w:tabs>
          <w:tab w:leader="none" w:pos="2234"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in the prospectus any facts or event arising after the effective date of this Registration Statement (or the most recent post-effective amendment thereof) which, individually or in the aggregate, represent a fundamental change in the information set forth in this Registration Statement;</w:t>
      </w:r>
    </w:p>
    <w:p>
      <w:pPr>
        <w:spacing w:after="0" w:line="199" w:lineRule="exact"/>
        <w:rPr>
          <w:rFonts w:ascii="Courier New" w:cs="Courier New" w:eastAsia="Courier New" w:hAnsi="Courier New"/>
          <w:sz w:val="17"/>
          <w:szCs w:val="17"/>
          <w:color w:val="auto"/>
        </w:rPr>
      </w:pPr>
    </w:p>
    <w:p>
      <w:pPr>
        <w:ind w:left="920" w:right="2319" w:firstLine="803"/>
        <w:spacing w:after="0" w:line="241" w:lineRule="auto"/>
        <w:tabs>
          <w:tab w:leader="none" w:pos="2336"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material information with respect to the plan of distribution not previously disclosed in this Registration Statement or any material change to such information in the Registration Statement;</w:t>
      </w:r>
    </w:p>
    <w:p>
      <w:pPr>
        <w:spacing w:after="0" w:line="199"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provided, however, that paragraphs (a)(1)(i) and (a)(1)(ii) do not apply if the information required to be included in a post- effective amendment by those paragraphs is contained in periodic reports filed by the Company pursuant to Section 13 or Section 15(d) of the Securities Exchange Act of 1934 that are incorporated by reference in this Registration Statement;</w:t>
      </w:r>
    </w:p>
    <w:p>
      <w:pPr>
        <w:spacing w:after="0" w:line="200" w:lineRule="exact"/>
        <w:rPr>
          <w:sz w:val="20"/>
          <w:szCs w:val="20"/>
          <w:color w:val="auto"/>
        </w:rPr>
      </w:pPr>
    </w:p>
    <w:p>
      <w:pPr>
        <w:ind w:left="920" w:right="2439" w:firstLine="803"/>
        <w:spacing w:after="0" w:line="241" w:lineRule="auto"/>
        <w:tabs>
          <w:tab w:leader="none" w:pos="2133"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200" w:lineRule="exact"/>
        <w:rPr>
          <w:rFonts w:ascii="Courier New" w:cs="Courier New" w:eastAsia="Courier New" w:hAnsi="Courier New"/>
          <w:sz w:val="17"/>
          <w:szCs w:val="17"/>
          <w:color w:val="auto"/>
        </w:rPr>
      </w:pPr>
    </w:p>
    <w:p>
      <w:pPr>
        <w:jc w:val="both"/>
        <w:ind w:left="920" w:right="2439" w:firstLine="803"/>
        <w:spacing w:after="0"/>
        <w:tabs>
          <w:tab w:leader="none" w:pos="2133"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remove from registration by means of a post-effective amendment any of the securities being registered which remain unsold at the termination of the offering.</w:t>
      </w:r>
    </w:p>
    <w:p>
      <w:pPr>
        <w:spacing w:after="0" w:line="200" w:lineRule="exact"/>
        <w:rPr>
          <w:sz w:val="20"/>
          <w:szCs w:val="20"/>
          <w:color w:val="auto"/>
        </w:rPr>
      </w:pPr>
    </w:p>
    <w:p>
      <w:pPr>
        <w:ind w:right="2219" w:firstLine="1723"/>
        <w:spacing w:after="0" w:line="241" w:lineRule="auto"/>
        <w:tabs>
          <w:tab w:leader="none" w:pos="2224"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 that, for the purpose of determining any liability under the Securities Act of 1933, each filing of the Company's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w:t>
      </w:r>
    </w:p>
    <w:p>
      <w:pPr>
        <w:sectPr>
          <w:pgSz w:w="11900" w:h="16838" w:orient="portrait"/>
          <w:cols w:equalWidth="0" w:num="1">
            <w:col w:w="10219"/>
          </w:cols>
          <w:pgMar w:left="240" w:top="308" w:right="1440"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7"/>
          <w:szCs w:val="17"/>
          <w:color w:val="auto"/>
        </w:rPr>
        <w:t>6</w:t>
      </w:r>
    </w:p>
    <w:p>
      <w:pPr>
        <w:spacing w:after="0" w:line="2"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6</w:t>
      </w:r>
    </w:p>
    <w:p>
      <w:pPr>
        <w:spacing w:after="0" w:line="393" w:lineRule="exact"/>
        <w:rPr>
          <w:sz w:val="20"/>
          <w:szCs w:val="20"/>
          <w:color w:val="auto"/>
        </w:rPr>
      </w:pPr>
    </w:p>
    <w:p>
      <w:pPr>
        <w:jc w:val="both"/>
        <w:ind w:right="2539"/>
        <w:spacing w:after="0"/>
        <w:rPr>
          <w:sz w:val="20"/>
          <w:szCs w:val="20"/>
          <w:color w:val="auto"/>
        </w:rPr>
      </w:pPr>
      <w:r>
        <w:rPr>
          <w:rFonts w:ascii="Courier New" w:cs="Courier New" w:eastAsia="Courier New" w:hAnsi="Courier New"/>
          <w:sz w:val="17"/>
          <w:szCs w:val="17"/>
          <w:color w:val="auto"/>
        </w:rPr>
        <w:t>Statement shall be deemed to be a new registration statement relating to the securities offered therein, and the offering of such securities at that time shall be deemed to be the initial bona fide offering hereof.</w:t>
      </w:r>
    </w:p>
    <w:p>
      <w:pPr>
        <w:spacing w:after="0" w:line="200" w:lineRule="exact"/>
        <w:rPr>
          <w:sz w:val="20"/>
          <w:szCs w:val="20"/>
          <w:color w:val="auto"/>
        </w:rPr>
      </w:pPr>
    </w:p>
    <w:p>
      <w:pPr>
        <w:ind w:right="2219" w:firstLine="1723"/>
        <w:spacing w:after="0" w:line="242" w:lineRule="auto"/>
        <w:tabs>
          <w:tab w:leader="none" w:pos="2224"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Insofar as indemnification for liabilities arising under the Securities Act of 1933 may be permitted to directors, officers and controlling persons of the Company pursuant to the foregoing provisions, or otherwise, the Company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10219"/>
          </w:cols>
          <w:pgMar w:left="240" w:top="308" w:right="1440"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7"/>
          <w:szCs w:val="17"/>
          <w:color w:val="auto"/>
        </w:rPr>
        <w:t>7</w:t>
      </w:r>
    </w:p>
    <w:p>
      <w:pPr>
        <w:spacing w:after="0" w:line="4" w:lineRule="exact"/>
        <w:rPr>
          <w:sz w:val="20"/>
          <w:szCs w:val="20"/>
          <w:color w:val="auto"/>
        </w:rPr>
      </w:pPr>
    </w:p>
    <w:p>
      <w:pPr>
        <w:ind w:left="8000"/>
        <w:spacing w:after="0"/>
        <w:rPr>
          <w:sz w:val="20"/>
          <w:szCs w:val="20"/>
          <w:color w:val="auto"/>
        </w:rPr>
      </w:pPr>
      <w:r>
        <w:rPr>
          <w:rFonts w:ascii="Courier New" w:cs="Courier New" w:eastAsia="Courier New" w:hAnsi="Courier New"/>
          <w:sz w:val="16"/>
          <w:szCs w:val="16"/>
          <w:color w:val="auto"/>
        </w:rPr>
        <w:t>7</w:t>
      </w:r>
    </w:p>
    <w:p>
      <w:pPr>
        <w:spacing w:after="0" w:line="400"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SIGNATURES</w:t>
      </w:r>
    </w:p>
    <w:p>
      <w:pPr>
        <w:spacing w:after="0" w:line="199" w:lineRule="exact"/>
        <w:rPr>
          <w:sz w:val="20"/>
          <w:szCs w:val="20"/>
          <w:color w:val="auto"/>
        </w:rPr>
      </w:pPr>
    </w:p>
    <w:p>
      <w:pPr>
        <w:ind w:right="2219" w:firstLine="1719"/>
        <w:spacing w:after="0" w:line="241" w:lineRule="auto"/>
        <w:rPr>
          <w:sz w:val="20"/>
          <w:szCs w:val="20"/>
          <w:color w:val="auto"/>
        </w:rPr>
      </w:pPr>
      <w:r>
        <w:rPr>
          <w:rFonts w:ascii="Courier New" w:cs="Courier New" w:eastAsia="Courier New" w:hAnsi="Courier New"/>
          <w:sz w:val="17"/>
          <w:szCs w:val="17"/>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Washington, D.C., on June 24, 1994.</w:t>
      </w:r>
    </w:p>
    <w:p>
      <w:pPr>
        <w:spacing w:after="0" w:line="198" w:lineRule="exact"/>
        <w:rPr>
          <w:sz w:val="20"/>
          <w:szCs w:val="20"/>
          <w:color w:val="auto"/>
        </w:rPr>
      </w:pPr>
    </w:p>
    <w:p>
      <w:pPr>
        <w:ind w:left="4360"/>
        <w:spacing w:after="0"/>
        <w:rPr>
          <w:sz w:val="20"/>
          <w:szCs w:val="20"/>
          <w:color w:val="auto"/>
        </w:rPr>
      </w:pPr>
      <w:r>
        <w:rPr>
          <w:rFonts w:ascii="Courier New" w:cs="Courier New" w:eastAsia="Courier New" w:hAnsi="Courier New"/>
          <w:sz w:val="17"/>
          <w:szCs w:val="17"/>
          <w:color w:val="auto"/>
        </w:rPr>
        <w:t>THE WASHINGTON POST COMPANY,</w:t>
      </w:r>
    </w:p>
    <w:p>
      <w:pPr>
        <w:sectPr>
          <w:pgSz w:w="11900" w:h="16838" w:orient="portrait"/>
          <w:cols w:equalWidth="0" w:num="1">
            <w:col w:w="10219"/>
          </w:cols>
          <w:pgMar w:left="240" w:top="308" w:right="1440" w:bottom="1440" w:gutter="0" w:footer="0" w:header="0"/>
        </w:sectPr>
      </w:pPr>
    </w:p>
    <w:p>
      <w:pPr>
        <w:spacing w:after="0" w:line="199"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John B. Morse, Jr.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John B. Morse,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 Finance</w:t>
      </w:r>
    </w:p>
    <w:p>
      <w:pPr>
        <w:spacing w:after="0" w:line="200" w:lineRule="exact"/>
        <w:rPr>
          <w:sz w:val="20"/>
          <w:szCs w:val="20"/>
          <w:color w:val="auto"/>
        </w:rPr>
      </w:pPr>
    </w:p>
    <w:p>
      <w:pPr>
        <w:sectPr>
          <w:pgSz w:w="11900" w:h="16838" w:orient="portrait"/>
          <w:cols w:equalWidth="0" w:num="2">
            <w:col w:w="4660" w:space="100"/>
            <w:col w:w="5459"/>
          </w:cols>
          <w:pgMar w:left="240" w:top="308" w:right="1440" w:bottom="1440" w:gutter="0" w:footer="0" w:header="0"/>
          <w:type w:val="continuous"/>
        </w:sectPr>
      </w:pPr>
    </w:p>
    <w:p>
      <w:pPr>
        <w:spacing w:after="0" w:line="202" w:lineRule="exact"/>
        <w:rPr>
          <w:sz w:val="20"/>
          <w:szCs w:val="20"/>
          <w:color w:val="auto"/>
        </w:rPr>
      </w:pPr>
    </w:p>
    <w:p>
      <w:pPr>
        <w:ind w:right="2439" w:firstLine="1719"/>
        <w:spacing w:after="0"/>
        <w:rPr>
          <w:sz w:val="20"/>
          <w:szCs w:val="20"/>
          <w:color w:val="auto"/>
        </w:rPr>
      </w:pPr>
      <w:r>
        <w:rPr>
          <w:rFonts w:ascii="Courier New" w:cs="Courier New" w:eastAsia="Courier New" w:hAnsi="Courier New"/>
          <w:sz w:val="17"/>
          <w:szCs w:val="17"/>
          <w:color w:val="auto"/>
        </w:rPr>
        <w:t>Pursuant to the requirements of the Securities Act of 1933, this Registration Statement has been signed below by the following persons in the capacities indicated on June 24, 1994:</w:t>
      </w:r>
    </w:p>
    <w:p>
      <w:pPr>
        <w:spacing w:after="0" w:line="200" w:lineRule="exact"/>
        <w:rPr>
          <w:sz w:val="20"/>
          <w:szCs w:val="20"/>
          <w:color w:val="auto"/>
        </w:rPr>
      </w:pPr>
    </w:p>
    <w:p>
      <w:pPr>
        <w:spacing w:after="0" w:line="387"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3000" w:type="dxa"/>
            <w:vAlign w:val="bottom"/>
          </w:tcPr>
          <w:p>
            <w:pPr>
              <w:jc w:val="center"/>
              <w:ind w:right="456"/>
              <w:spacing w:after="0"/>
              <w:rPr>
                <w:sz w:val="20"/>
                <w:szCs w:val="20"/>
                <w:color w:val="auto"/>
              </w:rPr>
            </w:pPr>
            <w:r>
              <w:rPr>
                <w:rFonts w:ascii="Courier New" w:cs="Courier New" w:eastAsia="Courier New" w:hAnsi="Courier New"/>
                <w:sz w:val="17"/>
                <w:szCs w:val="17"/>
                <w:color w:val="auto"/>
                <w:w w:val="99"/>
              </w:rPr>
              <w:t>Donald E. Graham</w:t>
            </w:r>
          </w:p>
        </w:tc>
        <w:tc>
          <w:tcPr>
            <w:tcW w:w="4080" w:type="dxa"/>
            <w:vAlign w:val="bottom"/>
          </w:tcPr>
          <w:p>
            <w:pPr>
              <w:jc w:val="center"/>
              <w:ind w:left="476"/>
              <w:spacing w:after="0"/>
              <w:rPr>
                <w:sz w:val="20"/>
                <w:szCs w:val="20"/>
                <w:color w:val="auto"/>
              </w:rPr>
            </w:pPr>
            <w:r>
              <w:rPr>
                <w:rFonts w:ascii="Courier New" w:cs="Courier New" w:eastAsia="Courier New" w:hAnsi="Courier New"/>
                <w:sz w:val="17"/>
                <w:szCs w:val="17"/>
                <w:color w:val="auto"/>
                <w:w w:val="98"/>
              </w:rPr>
              <w:t>Chairman of the Board and Chief</w:t>
            </w:r>
          </w:p>
        </w:tc>
      </w:tr>
      <w:tr>
        <w:trPr>
          <w:trHeight w:val="194"/>
        </w:trPr>
        <w:tc>
          <w:tcPr>
            <w:tcW w:w="3000" w:type="dxa"/>
            <w:vAlign w:val="bottom"/>
          </w:tcPr>
          <w:p>
            <w:pPr>
              <w:spacing w:after="0"/>
              <w:rPr>
                <w:sz w:val="16"/>
                <w:szCs w:val="16"/>
                <w:color w:val="auto"/>
              </w:rPr>
            </w:pPr>
          </w:p>
        </w:tc>
        <w:tc>
          <w:tcPr>
            <w:tcW w:w="4080" w:type="dxa"/>
            <w:vAlign w:val="bottom"/>
          </w:tcPr>
          <w:p>
            <w:pPr>
              <w:jc w:val="center"/>
              <w:ind w:left="376"/>
              <w:spacing w:after="0"/>
              <w:rPr>
                <w:sz w:val="20"/>
                <w:szCs w:val="20"/>
                <w:color w:val="auto"/>
              </w:rPr>
            </w:pPr>
            <w:r>
              <w:rPr>
                <w:rFonts w:ascii="Courier New" w:cs="Courier New" w:eastAsia="Courier New" w:hAnsi="Courier New"/>
                <w:sz w:val="17"/>
                <w:szCs w:val="17"/>
                <w:color w:val="auto"/>
                <w:w w:val="98"/>
              </w:rPr>
              <w:t>Executive Officer (Principal</w:t>
            </w:r>
          </w:p>
        </w:tc>
      </w:tr>
      <w:tr>
        <w:trPr>
          <w:trHeight w:val="194"/>
        </w:trPr>
        <w:tc>
          <w:tcPr>
            <w:tcW w:w="3000" w:type="dxa"/>
            <w:vAlign w:val="bottom"/>
          </w:tcPr>
          <w:p>
            <w:pPr>
              <w:spacing w:after="0"/>
              <w:rPr>
                <w:sz w:val="16"/>
                <w:szCs w:val="16"/>
                <w:color w:val="auto"/>
              </w:rPr>
            </w:pPr>
          </w:p>
        </w:tc>
        <w:tc>
          <w:tcPr>
            <w:tcW w:w="4080" w:type="dxa"/>
            <w:vAlign w:val="bottom"/>
          </w:tcPr>
          <w:p>
            <w:pPr>
              <w:jc w:val="center"/>
              <w:ind w:left="476"/>
              <w:spacing w:after="0"/>
              <w:rPr>
                <w:sz w:val="20"/>
                <w:szCs w:val="20"/>
                <w:color w:val="auto"/>
              </w:rPr>
            </w:pPr>
            <w:r>
              <w:rPr>
                <w:rFonts w:ascii="Courier New" w:cs="Courier New" w:eastAsia="Courier New" w:hAnsi="Courier New"/>
                <w:sz w:val="17"/>
                <w:szCs w:val="17"/>
                <w:color w:val="auto"/>
                <w:w w:val="98"/>
              </w:rPr>
              <w:t>Executive Officer) and Director</w:t>
            </w:r>
          </w:p>
        </w:tc>
      </w:tr>
      <w:tr>
        <w:trPr>
          <w:trHeight w:val="389"/>
        </w:trPr>
        <w:tc>
          <w:tcPr>
            <w:tcW w:w="3000" w:type="dxa"/>
            <w:vAlign w:val="bottom"/>
          </w:tcPr>
          <w:p>
            <w:pPr>
              <w:jc w:val="right"/>
              <w:ind w:right="976"/>
              <w:spacing w:after="0"/>
              <w:rPr>
                <w:sz w:val="20"/>
                <w:szCs w:val="20"/>
                <w:color w:val="auto"/>
              </w:rPr>
            </w:pPr>
            <w:r>
              <w:rPr>
                <w:rFonts w:ascii="Courier New" w:cs="Courier New" w:eastAsia="Courier New" w:hAnsi="Courier New"/>
                <w:sz w:val="17"/>
                <w:szCs w:val="17"/>
                <w:color w:val="auto"/>
              </w:rPr>
              <w:t>Alan G. Spoon</w:t>
            </w:r>
          </w:p>
        </w:tc>
        <w:tc>
          <w:tcPr>
            <w:tcW w:w="4080" w:type="dxa"/>
            <w:vAlign w:val="bottom"/>
          </w:tcPr>
          <w:p>
            <w:pPr>
              <w:jc w:val="center"/>
              <w:ind w:left="356"/>
              <w:spacing w:after="0"/>
              <w:rPr>
                <w:sz w:val="20"/>
                <w:szCs w:val="20"/>
                <w:color w:val="auto"/>
              </w:rPr>
            </w:pPr>
            <w:r>
              <w:rPr>
                <w:rFonts w:ascii="Courier New" w:cs="Courier New" w:eastAsia="Courier New" w:hAnsi="Courier New"/>
                <w:sz w:val="17"/>
                <w:szCs w:val="17"/>
                <w:color w:val="auto"/>
                <w:w w:val="99"/>
              </w:rPr>
              <w:t>President, Chief Operating Officer</w:t>
            </w:r>
          </w:p>
        </w:tc>
      </w:tr>
      <w:tr>
        <w:trPr>
          <w:trHeight w:val="194"/>
        </w:trPr>
        <w:tc>
          <w:tcPr>
            <w:tcW w:w="3000" w:type="dxa"/>
            <w:vAlign w:val="bottom"/>
          </w:tcPr>
          <w:p>
            <w:pPr>
              <w:spacing w:after="0"/>
              <w:rPr>
                <w:sz w:val="16"/>
                <w:szCs w:val="16"/>
                <w:color w:val="auto"/>
              </w:rPr>
            </w:pPr>
          </w:p>
        </w:tc>
        <w:tc>
          <w:tcPr>
            <w:tcW w:w="4080" w:type="dxa"/>
            <w:vAlign w:val="bottom"/>
          </w:tcPr>
          <w:p>
            <w:pPr>
              <w:jc w:val="center"/>
              <w:ind w:left="376"/>
              <w:spacing w:after="0"/>
              <w:rPr>
                <w:sz w:val="20"/>
                <w:szCs w:val="20"/>
                <w:color w:val="auto"/>
              </w:rPr>
            </w:pPr>
            <w:r>
              <w:rPr>
                <w:rFonts w:ascii="Courier New" w:cs="Courier New" w:eastAsia="Courier New" w:hAnsi="Courier New"/>
                <w:sz w:val="17"/>
                <w:szCs w:val="17"/>
                <w:color w:val="auto"/>
                <w:w w:val="99"/>
              </w:rPr>
              <w:t>and Director</w:t>
            </w:r>
          </w:p>
        </w:tc>
      </w:tr>
      <w:tr>
        <w:trPr>
          <w:trHeight w:val="389"/>
        </w:trPr>
        <w:tc>
          <w:tcPr>
            <w:tcW w:w="3000" w:type="dxa"/>
            <w:vAlign w:val="bottom"/>
          </w:tcPr>
          <w:p>
            <w:pPr>
              <w:jc w:val="center"/>
              <w:ind w:right="456"/>
              <w:spacing w:after="0"/>
              <w:rPr>
                <w:sz w:val="20"/>
                <w:szCs w:val="20"/>
                <w:color w:val="auto"/>
              </w:rPr>
            </w:pPr>
            <w:r>
              <w:rPr>
                <w:rFonts w:ascii="Courier New" w:cs="Courier New" w:eastAsia="Courier New" w:hAnsi="Courier New"/>
                <w:sz w:val="17"/>
                <w:szCs w:val="17"/>
                <w:color w:val="auto"/>
                <w:w w:val="99"/>
              </w:rPr>
              <w:t>Katharine Graham</w:t>
            </w:r>
          </w:p>
        </w:tc>
        <w:tc>
          <w:tcPr>
            <w:tcW w:w="4080" w:type="dxa"/>
            <w:vAlign w:val="bottom"/>
          </w:tcPr>
          <w:p>
            <w:pPr>
              <w:jc w:val="center"/>
              <w:ind w:left="476"/>
              <w:spacing w:after="0"/>
              <w:rPr>
                <w:sz w:val="20"/>
                <w:szCs w:val="20"/>
                <w:color w:val="auto"/>
              </w:rPr>
            </w:pPr>
            <w:r>
              <w:rPr>
                <w:rFonts w:ascii="Courier New" w:cs="Courier New" w:eastAsia="Courier New" w:hAnsi="Courier New"/>
                <w:sz w:val="17"/>
                <w:szCs w:val="17"/>
                <w:color w:val="auto"/>
                <w:w w:val="98"/>
              </w:rPr>
              <w:t>Chairman of the Executive</w:t>
            </w:r>
          </w:p>
        </w:tc>
      </w:tr>
      <w:tr>
        <w:trPr>
          <w:trHeight w:val="194"/>
        </w:trPr>
        <w:tc>
          <w:tcPr>
            <w:tcW w:w="3000" w:type="dxa"/>
            <w:vAlign w:val="bottom"/>
          </w:tcPr>
          <w:p>
            <w:pPr>
              <w:spacing w:after="0"/>
              <w:rPr>
                <w:sz w:val="16"/>
                <w:szCs w:val="16"/>
                <w:color w:val="auto"/>
              </w:rPr>
            </w:pPr>
          </w:p>
        </w:tc>
        <w:tc>
          <w:tcPr>
            <w:tcW w:w="4080" w:type="dxa"/>
            <w:vAlign w:val="bottom"/>
          </w:tcPr>
          <w:p>
            <w:pPr>
              <w:jc w:val="center"/>
              <w:ind w:left="456"/>
              <w:spacing w:after="0"/>
              <w:rPr>
                <w:sz w:val="20"/>
                <w:szCs w:val="20"/>
                <w:color w:val="auto"/>
              </w:rPr>
            </w:pPr>
            <w:r>
              <w:rPr>
                <w:rFonts w:ascii="Courier New" w:cs="Courier New" w:eastAsia="Courier New" w:hAnsi="Courier New"/>
                <w:sz w:val="17"/>
                <w:szCs w:val="17"/>
                <w:color w:val="auto"/>
                <w:w w:val="99"/>
              </w:rPr>
              <w:t>Committee of the Board and Director</w:t>
            </w:r>
          </w:p>
        </w:tc>
      </w:tr>
      <w:tr>
        <w:trPr>
          <w:trHeight w:val="389"/>
        </w:trPr>
        <w:tc>
          <w:tcPr>
            <w:tcW w:w="3000" w:type="dxa"/>
            <w:vAlign w:val="bottom"/>
          </w:tcPr>
          <w:p>
            <w:pPr>
              <w:jc w:val="center"/>
              <w:ind w:right="456"/>
              <w:spacing w:after="0"/>
              <w:rPr>
                <w:sz w:val="20"/>
                <w:szCs w:val="20"/>
                <w:color w:val="auto"/>
              </w:rPr>
            </w:pPr>
            <w:r>
              <w:rPr>
                <w:rFonts w:ascii="Courier New" w:cs="Courier New" w:eastAsia="Courier New" w:hAnsi="Courier New"/>
                <w:sz w:val="17"/>
                <w:szCs w:val="17"/>
                <w:color w:val="auto"/>
                <w:w w:val="99"/>
              </w:rPr>
              <w:t>John B. Morse, Jr.</w:t>
            </w:r>
          </w:p>
        </w:tc>
        <w:tc>
          <w:tcPr>
            <w:tcW w:w="4080" w:type="dxa"/>
            <w:vAlign w:val="bottom"/>
          </w:tcPr>
          <w:p>
            <w:pPr>
              <w:jc w:val="center"/>
              <w:ind w:left="456"/>
              <w:spacing w:after="0"/>
              <w:rPr>
                <w:sz w:val="20"/>
                <w:szCs w:val="20"/>
                <w:color w:val="auto"/>
              </w:rPr>
            </w:pPr>
            <w:r>
              <w:rPr>
                <w:rFonts w:ascii="Courier New" w:cs="Courier New" w:eastAsia="Courier New" w:hAnsi="Courier New"/>
                <w:sz w:val="17"/>
                <w:szCs w:val="17"/>
                <w:color w:val="auto"/>
                <w:w w:val="99"/>
              </w:rPr>
              <w:t>Vice President-Finance (Principal</w:t>
            </w:r>
          </w:p>
        </w:tc>
      </w:tr>
      <w:tr>
        <w:trPr>
          <w:trHeight w:val="194"/>
        </w:trPr>
        <w:tc>
          <w:tcPr>
            <w:tcW w:w="3000" w:type="dxa"/>
            <w:vAlign w:val="bottom"/>
          </w:tcPr>
          <w:p>
            <w:pPr>
              <w:spacing w:after="0"/>
              <w:rPr>
                <w:sz w:val="16"/>
                <w:szCs w:val="16"/>
                <w:color w:val="auto"/>
              </w:rPr>
            </w:pPr>
          </w:p>
        </w:tc>
        <w:tc>
          <w:tcPr>
            <w:tcW w:w="4080" w:type="dxa"/>
            <w:vAlign w:val="bottom"/>
          </w:tcPr>
          <w:p>
            <w:pPr>
              <w:ind w:left="540"/>
              <w:spacing w:after="0"/>
              <w:rPr>
                <w:sz w:val="20"/>
                <w:szCs w:val="20"/>
                <w:color w:val="auto"/>
              </w:rPr>
            </w:pPr>
            <w:r>
              <w:rPr>
                <w:rFonts w:ascii="Courier New" w:cs="Courier New" w:eastAsia="Courier New" w:hAnsi="Courier New"/>
                <w:sz w:val="17"/>
                <w:szCs w:val="17"/>
                <w:color w:val="auto"/>
              </w:rPr>
              <w:t>Financial and Accounting Officer)</w:t>
            </w:r>
          </w:p>
        </w:tc>
      </w:tr>
      <w:tr>
        <w:trPr>
          <w:trHeight w:val="389"/>
        </w:trPr>
        <w:tc>
          <w:tcPr>
            <w:tcW w:w="3000" w:type="dxa"/>
            <w:vAlign w:val="bottom"/>
          </w:tcPr>
          <w:p>
            <w:pPr>
              <w:jc w:val="center"/>
              <w:ind w:right="456"/>
              <w:spacing w:after="0"/>
              <w:rPr>
                <w:sz w:val="20"/>
                <w:szCs w:val="20"/>
                <w:color w:val="auto"/>
              </w:rPr>
            </w:pPr>
            <w:r>
              <w:rPr>
                <w:rFonts w:ascii="Courier New" w:cs="Courier New" w:eastAsia="Courier New" w:hAnsi="Courier New"/>
                <w:sz w:val="17"/>
                <w:szCs w:val="17"/>
                <w:color w:val="auto"/>
                <w:w w:val="99"/>
              </w:rPr>
              <w:t>James E. Burke</w:t>
            </w:r>
          </w:p>
        </w:tc>
        <w:tc>
          <w:tcPr>
            <w:tcW w:w="4080" w:type="dxa"/>
            <w:vAlign w:val="bottom"/>
          </w:tcPr>
          <w:p>
            <w:pPr>
              <w:jc w:val="center"/>
              <w:ind w:left="376"/>
              <w:spacing w:after="0"/>
              <w:rPr>
                <w:sz w:val="20"/>
                <w:szCs w:val="20"/>
                <w:color w:val="auto"/>
              </w:rPr>
            </w:pPr>
            <w:r>
              <w:rPr>
                <w:rFonts w:ascii="Courier New" w:cs="Courier New" w:eastAsia="Courier New" w:hAnsi="Courier New"/>
                <w:sz w:val="17"/>
                <w:szCs w:val="17"/>
                <w:color w:val="auto"/>
              </w:rPr>
              <w:t>Director</w:t>
            </w:r>
          </w:p>
        </w:tc>
      </w:tr>
      <w:tr>
        <w:trPr>
          <w:trHeight w:val="389"/>
        </w:trPr>
        <w:tc>
          <w:tcPr>
            <w:tcW w:w="3000" w:type="dxa"/>
            <w:vAlign w:val="bottom"/>
          </w:tcPr>
          <w:p>
            <w:pPr>
              <w:jc w:val="center"/>
              <w:ind w:right="476"/>
              <w:spacing w:after="0"/>
              <w:rPr>
                <w:sz w:val="20"/>
                <w:szCs w:val="20"/>
                <w:color w:val="auto"/>
              </w:rPr>
            </w:pPr>
            <w:r>
              <w:rPr>
                <w:rFonts w:ascii="Courier New" w:cs="Courier New" w:eastAsia="Courier New" w:hAnsi="Courier New"/>
                <w:sz w:val="17"/>
                <w:szCs w:val="17"/>
                <w:color w:val="auto"/>
                <w:w w:val="98"/>
              </w:rPr>
              <w:t>Martin Cohen</w:t>
            </w:r>
          </w:p>
        </w:tc>
        <w:tc>
          <w:tcPr>
            <w:tcW w:w="4080" w:type="dxa"/>
            <w:vAlign w:val="bottom"/>
          </w:tcPr>
          <w:p>
            <w:pPr>
              <w:jc w:val="center"/>
              <w:ind w:left="376"/>
              <w:spacing w:after="0"/>
              <w:rPr>
                <w:sz w:val="20"/>
                <w:szCs w:val="20"/>
                <w:color w:val="auto"/>
              </w:rPr>
            </w:pPr>
            <w:r>
              <w:rPr>
                <w:rFonts w:ascii="Courier New" w:cs="Courier New" w:eastAsia="Courier New" w:hAnsi="Courier New"/>
                <w:sz w:val="17"/>
                <w:szCs w:val="17"/>
                <w:color w:val="auto"/>
              </w:rPr>
              <w:t>Director</w:t>
            </w:r>
          </w:p>
        </w:tc>
      </w:tr>
      <w:tr>
        <w:trPr>
          <w:trHeight w:val="389"/>
        </w:trPr>
        <w:tc>
          <w:tcPr>
            <w:tcW w:w="3000" w:type="dxa"/>
            <w:vAlign w:val="bottom"/>
          </w:tcPr>
          <w:p>
            <w:pPr>
              <w:jc w:val="center"/>
              <w:ind w:right="476"/>
              <w:spacing w:after="0"/>
              <w:rPr>
                <w:sz w:val="20"/>
                <w:szCs w:val="20"/>
                <w:color w:val="auto"/>
              </w:rPr>
            </w:pPr>
            <w:r>
              <w:rPr>
                <w:rFonts w:ascii="Courier New" w:cs="Courier New" w:eastAsia="Courier New" w:hAnsi="Courier New"/>
                <w:sz w:val="17"/>
                <w:szCs w:val="17"/>
                <w:color w:val="auto"/>
                <w:w w:val="99"/>
              </w:rPr>
              <w:t>George J. Gillespie, III</w:t>
            </w:r>
          </w:p>
        </w:tc>
        <w:tc>
          <w:tcPr>
            <w:tcW w:w="4080" w:type="dxa"/>
            <w:vAlign w:val="bottom"/>
          </w:tcPr>
          <w:p>
            <w:pPr>
              <w:jc w:val="center"/>
              <w:ind w:left="376"/>
              <w:spacing w:after="0"/>
              <w:rPr>
                <w:sz w:val="20"/>
                <w:szCs w:val="20"/>
                <w:color w:val="auto"/>
              </w:rPr>
            </w:pPr>
            <w:r>
              <w:rPr>
                <w:rFonts w:ascii="Courier New" w:cs="Courier New" w:eastAsia="Courier New" w:hAnsi="Courier New"/>
                <w:sz w:val="17"/>
                <w:szCs w:val="17"/>
                <w:color w:val="auto"/>
              </w:rPr>
              <w:t>Director</w:t>
            </w:r>
          </w:p>
        </w:tc>
      </w:tr>
      <w:tr>
        <w:trPr>
          <w:trHeight w:val="389"/>
        </w:trPr>
        <w:tc>
          <w:tcPr>
            <w:tcW w:w="3000" w:type="dxa"/>
            <w:vAlign w:val="bottom"/>
          </w:tcPr>
          <w:p>
            <w:pPr>
              <w:jc w:val="right"/>
              <w:ind w:right="976"/>
              <w:spacing w:after="0"/>
              <w:rPr>
                <w:sz w:val="20"/>
                <w:szCs w:val="20"/>
                <w:color w:val="auto"/>
              </w:rPr>
            </w:pPr>
            <w:r>
              <w:rPr>
                <w:rFonts w:ascii="Courier New" w:cs="Courier New" w:eastAsia="Courier New" w:hAnsi="Courier New"/>
                <w:sz w:val="17"/>
                <w:szCs w:val="17"/>
                <w:color w:val="auto"/>
              </w:rPr>
              <w:t>Ralph E. Gomory</w:t>
            </w:r>
          </w:p>
        </w:tc>
        <w:tc>
          <w:tcPr>
            <w:tcW w:w="4080" w:type="dxa"/>
            <w:vAlign w:val="bottom"/>
          </w:tcPr>
          <w:p>
            <w:pPr>
              <w:jc w:val="center"/>
              <w:ind w:left="376"/>
              <w:spacing w:after="0"/>
              <w:rPr>
                <w:sz w:val="20"/>
                <w:szCs w:val="20"/>
                <w:color w:val="auto"/>
              </w:rPr>
            </w:pPr>
            <w:r>
              <w:rPr>
                <w:rFonts w:ascii="Courier New" w:cs="Courier New" w:eastAsia="Courier New" w:hAnsi="Courier New"/>
                <w:sz w:val="17"/>
                <w:szCs w:val="17"/>
                <w:color w:val="auto"/>
              </w:rPr>
              <w:t>Director</w:t>
            </w:r>
          </w:p>
        </w:tc>
      </w:tr>
      <w:tr>
        <w:trPr>
          <w:trHeight w:val="389"/>
        </w:trPr>
        <w:tc>
          <w:tcPr>
            <w:tcW w:w="3000" w:type="dxa"/>
            <w:vAlign w:val="bottom"/>
          </w:tcPr>
          <w:p>
            <w:pPr>
              <w:jc w:val="center"/>
              <w:ind w:right="456"/>
              <w:spacing w:after="0"/>
              <w:rPr>
                <w:sz w:val="20"/>
                <w:szCs w:val="20"/>
                <w:color w:val="auto"/>
              </w:rPr>
            </w:pPr>
            <w:r>
              <w:rPr>
                <w:rFonts w:ascii="Courier New" w:cs="Courier New" w:eastAsia="Courier New" w:hAnsi="Courier New"/>
                <w:sz w:val="17"/>
                <w:szCs w:val="17"/>
                <w:color w:val="auto"/>
                <w:w w:val="99"/>
              </w:rPr>
              <w:t>Donald R. Keough</w:t>
            </w:r>
          </w:p>
        </w:tc>
        <w:tc>
          <w:tcPr>
            <w:tcW w:w="4080" w:type="dxa"/>
            <w:vAlign w:val="bottom"/>
          </w:tcPr>
          <w:p>
            <w:pPr>
              <w:jc w:val="center"/>
              <w:ind w:left="376"/>
              <w:spacing w:after="0"/>
              <w:rPr>
                <w:sz w:val="20"/>
                <w:szCs w:val="20"/>
                <w:color w:val="auto"/>
              </w:rPr>
            </w:pPr>
            <w:r>
              <w:rPr>
                <w:rFonts w:ascii="Courier New" w:cs="Courier New" w:eastAsia="Courier New" w:hAnsi="Courier New"/>
                <w:sz w:val="17"/>
                <w:szCs w:val="17"/>
                <w:color w:val="auto"/>
              </w:rPr>
              <w:t>Director</w:t>
            </w:r>
          </w:p>
        </w:tc>
      </w:tr>
      <w:tr>
        <w:trPr>
          <w:trHeight w:val="389"/>
        </w:trPr>
        <w:tc>
          <w:tcPr>
            <w:tcW w:w="3000" w:type="dxa"/>
            <w:vAlign w:val="bottom"/>
          </w:tcPr>
          <w:p>
            <w:pPr>
              <w:jc w:val="center"/>
              <w:ind w:right="456"/>
              <w:spacing w:after="0"/>
              <w:rPr>
                <w:sz w:val="20"/>
                <w:szCs w:val="20"/>
                <w:color w:val="auto"/>
              </w:rPr>
            </w:pPr>
            <w:r>
              <w:rPr>
                <w:rFonts w:ascii="Courier New" w:cs="Courier New" w:eastAsia="Courier New" w:hAnsi="Courier New"/>
                <w:sz w:val="17"/>
                <w:szCs w:val="17"/>
                <w:color w:val="auto"/>
                <w:w w:val="98"/>
              </w:rPr>
              <w:t>Barbara Scott Preiskel</w:t>
            </w:r>
          </w:p>
        </w:tc>
        <w:tc>
          <w:tcPr>
            <w:tcW w:w="4080" w:type="dxa"/>
            <w:vAlign w:val="bottom"/>
          </w:tcPr>
          <w:p>
            <w:pPr>
              <w:jc w:val="center"/>
              <w:ind w:left="376"/>
              <w:spacing w:after="0"/>
              <w:rPr>
                <w:sz w:val="20"/>
                <w:szCs w:val="20"/>
                <w:color w:val="auto"/>
              </w:rPr>
            </w:pPr>
            <w:r>
              <w:rPr>
                <w:rFonts w:ascii="Courier New" w:cs="Courier New" w:eastAsia="Courier New" w:hAnsi="Courier New"/>
                <w:sz w:val="17"/>
                <w:szCs w:val="17"/>
                <w:color w:val="auto"/>
              </w:rPr>
              <w:t>Director</w:t>
            </w:r>
          </w:p>
        </w:tc>
      </w:tr>
      <w:tr>
        <w:trPr>
          <w:trHeight w:val="389"/>
        </w:trPr>
        <w:tc>
          <w:tcPr>
            <w:tcW w:w="3000" w:type="dxa"/>
            <w:vAlign w:val="bottom"/>
          </w:tcPr>
          <w:p>
            <w:pPr>
              <w:jc w:val="center"/>
              <w:ind w:right="456"/>
              <w:spacing w:after="0"/>
              <w:rPr>
                <w:sz w:val="20"/>
                <w:szCs w:val="20"/>
                <w:color w:val="auto"/>
              </w:rPr>
            </w:pPr>
            <w:r>
              <w:rPr>
                <w:rFonts w:ascii="Courier New" w:cs="Courier New" w:eastAsia="Courier New" w:hAnsi="Courier New"/>
                <w:sz w:val="17"/>
                <w:szCs w:val="17"/>
                <w:color w:val="auto"/>
                <w:w w:val="99"/>
              </w:rPr>
              <w:t>William J. Ruane</w:t>
            </w:r>
          </w:p>
        </w:tc>
        <w:tc>
          <w:tcPr>
            <w:tcW w:w="4080" w:type="dxa"/>
            <w:vAlign w:val="bottom"/>
          </w:tcPr>
          <w:p>
            <w:pPr>
              <w:jc w:val="center"/>
              <w:ind w:left="376"/>
              <w:spacing w:after="0"/>
              <w:rPr>
                <w:sz w:val="20"/>
                <w:szCs w:val="20"/>
                <w:color w:val="auto"/>
              </w:rPr>
            </w:pPr>
            <w:r>
              <w:rPr>
                <w:rFonts w:ascii="Courier New" w:cs="Courier New" w:eastAsia="Courier New" w:hAnsi="Courier New"/>
                <w:sz w:val="17"/>
                <w:szCs w:val="17"/>
                <w:color w:val="auto"/>
              </w:rPr>
              <w:t>Director</w:t>
            </w:r>
          </w:p>
        </w:tc>
      </w:tr>
      <w:tr>
        <w:trPr>
          <w:trHeight w:val="389"/>
        </w:trPr>
        <w:tc>
          <w:tcPr>
            <w:tcW w:w="3000" w:type="dxa"/>
            <w:vAlign w:val="bottom"/>
          </w:tcPr>
          <w:p>
            <w:pPr>
              <w:jc w:val="center"/>
              <w:ind w:right="456"/>
              <w:spacing w:after="0"/>
              <w:rPr>
                <w:sz w:val="20"/>
                <w:szCs w:val="20"/>
                <w:color w:val="auto"/>
              </w:rPr>
            </w:pPr>
            <w:r>
              <w:rPr>
                <w:rFonts w:ascii="Courier New" w:cs="Courier New" w:eastAsia="Courier New" w:hAnsi="Courier New"/>
                <w:sz w:val="17"/>
                <w:szCs w:val="17"/>
                <w:color w:val="auto"/>
                <w:w w:val="99"/>
              </w:rPr>
              <w:t>Richard D. Simmons</w:t>
            </w:r>
          </w:p>
        </w:tc>
        <w:tc>
          <w:tcPr>
            <w:tcW w:w="4080" w:type="dxa"/>
            <w:vAlign w:val="bottom"/>
          </w:tcPr>
          <w:p>
            <w:pPr>
              <w:jc w:val="center"/>
              <w:ind w:left="376"/>
              <w:spacing w:after="0"/>
              <w:rPr>
                <w:sz w:val="20"/>
                <w:szCs w:val="20"/>
                <w:color w:val="auto"/>
              </w:rPr>
            </w:pPr>
            <w:r>
              <w:rPr>
                <w:rFonts w:ascii="Courier New" w:cs="Courier New" w:eastAsia="Courier New" w:hAnsi="Courier New"/>
                <w:sz w:val="17"/>
                <w:szCs w:val="17"/>
                <w:color w:val="auto"/>
              </w:rPr>
              <w:t>Director</w:t>
            </w:r>
          </w:p>
        </w:tc>
      </w:tr>
      <w:tr>
        <w:trPr>
          <w:trHeight w:val="389"/>
        </w:trPr>
        <w:tc>
          <w:tcPr>
            <w:tcW w:w="3000" w:type="dxa"/>
            <w:vAlign w:val="bottom"/>
          </w:tcPr>
          <w:p>
            <w:pPr>
              <w:jc w:val="center"/>
              <w:ind w:right="456"/>
              <w:spacing w:after="0"/>
              <w:rPr>
                <w:sz w:val="20"/>
                <w:szCs w:val="20"/>
                <w:color w:val="auto"/>
              </w:rPr>
            </w:pPr>
            <w:r>
              <w:rPr>
                <w:rFonts w:ascii="Courier New" w:cs="Courier New" w:eastAsia="Courier New" w:hAnsi="Courier New"/>
                <w:sz w:val="17"/>
                <w:szCs w:val="17"/>
                <w:color w:val="auto"/>
                <w:w w:val="99"/>
              </w:rPr>
              <w:t>George W. Wilson</w:t>
            </w:r>
          </w:p>
        </w:tc>
        <w:tc>
          <w:tcPr>
            <w:tcW w:w="4080" w:type="dxa"/>
            <w:vAlign w:val="bottom"/>
          </w:tcPr>
          <w:p>
            <w:pPr>
              <w:jc w:val="center"/>
              <w:ind w:left="376"/>
              <w:spacing w:after="0"/>
              <w:rPr>
                <w:sz w:val="20"/>
                <w:szCs w:val="20"/>
                <w:color w:val="auto"/>
              </w:rPr>
            </w:pPr>
            <w:r>
              <w:rPr>
                <w:rFonts w:ascii="Courier New" w:cs="Courier New" w:eastAsia="Courier New" w:hAnsi="Courier New"/>
                <w:sz w:val="17"/>
                <w:szCs w:val="17"/>
                <w:color w:val="auto"/>
              </w:rPr>
              <w:t>Director</w:t>
            </w:r>
          </w:p>
        </w:tc>
      </w:tr>
    </w:tbl>
    <w:p>
      <w:pPr>
        <w:spacing w:after="0" w:line="391" w:lineRule="exact"/>
        <w:rPr>
          <w:sz w:val="20"/>
          <w:szCs w:val="20"/>
          <w:color w:val="auto"/>
        </w:rPr>
      </w:pPr>
    </w:p>
    <w:p>
      <w:pPr>
        <w:ind w:left="6280"/>
        <w:spacing w:after="0"/>
        <w:tabs>
          <w:tab w:leader="none" w:pos="666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John B. Morse, Jr.</w:t>
      </w:r>
    </w:p>
    <w:p>
      <w:pPr>
        <w:spacing w:after="0" w:line="4" w:lineRule="exact"/>
        <w:rPr>
          <w:sz w:val="20"/>
          <w:szCs w:val="20"/>
          <w:color w:val="auto"/>
        </w:rPr>
      </w:pPr>
    </w:p>
    <w:p>
      <w:pPr>
        <w:ind w:left="6580"/>
        <w:spacing w:after="0"/>
        <w:rPr>
          <w:sz w:val="20"/>
          <w:szCs w:val="20"/>
          <w:color w:val="auto"/>
        </w:rPr>
      </w:pPr>
      <w:r>
        <w:rPr>
          <w:rFonts w:ascii="Courier New" w:cs="Courier New" w:eastAsia="Courier New" w:hAnsi="Courier New"/>
          <w:sz w:val="16"/>
          <w:szCs w:val="16"/>
          <w:color w:val="auto"/>
        </w:rPr>
        <w:t>-------------------</w:t>
      </w:r>
    </w:p>
    <w:p>
      <w:pPr>
        <w:spacing w:after="0" w:line="13" w:lineRule="exact"/>
        <w:rPr>
          <w:sz w:val="20"/>
          <w:szCs w:val="20"/>
          <w:color w:val="auto"/>
        </w:rPr>
      </w:pPr>
    </w:p>
    <w:p>
      <w:pPr>
        <w:jc w:val="center"/>
        <w:ind w:left="3760"/>
        <w:spacing w:after="0"/>
        <w:rPr>
          <w:sz w:val="20"/>
          <w:szCs w:val="20"/>
          <w:color w:val="auto"/>
        </w:rPr>
      </w:pPr>
      <w:r>
        <w:rPr>
          <w:rFonts w:ascii="Courier New" w:cs="Courier New" w:eastAsia="Courier New" w:hAnsi="Courier New"/>
          <w:sz w:val="16"/>
          <w:szCs w:val="16"/>
          <w:color w:val="auto"/>
        </w:rPr>
        <w:t>John B. Morse, Jr.</w:t>
      </w:r>
    </w:p>
    <w:p>
      <w:pPr>
        <w:spacing w:after="0" w:line="11" w:lineRule="exact"/>
        <w:rPr>
          <w:sz w:val="20"/>
          <w:szCs w:val="20"/>
          <w:color w:val="auto"/>
        </w:rPr>
      </w:pPr>
    </w:p>
    <w:p>
      <w:pPr>
        <w:jc w:val="center"/>
        <w:ind w:left="3760"/>
        <w:spacing w:after="0"/>
        <w:rPr>
          <w:sz w:val="20"/>
          <w:szCs w:val="20"/>
          <w:color w:val="auto"/>
        </w:rPr>
      </w:pPr>
      <w:r>
        <w:rPr>
          <w:rFonts w:ascii="Courier New" w:cs="Courier New" w:eastAsia="Courier New" w:hAnsi="Courier New"/>
          <w:sz w:val="17"/>
          <w:szCs w:val="17"/>
          <w:color w:val="auto"/>
        </w:rPr>
        <w:t>Attorney-in-Fact</w:t>
      </w:r>
    </w:p>
    <w:p>
      <w:pPr>
        <w:sectPr>
          <w:pgSz w:w="11900" w:h="16838" w:orient="portrait"/>
          <w:cols w:equalWidth="0" w:num="1">
            <w:col w:w="10219"/>
          </w:cols>
          <w:pgMar w:left="240" w:top="308" w:right="1440" w:bottom="1440"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7"/>
          <w:szCs w:val="17"/>
          <w:color w:val="auto"/>
        </w:rPr>
        <w:t>8</w:t>
      </w:r>
    </w:p>
    <w:p>
      <w:pPr>
        <w:spacing w:after="0" w:line="4" w:lineRule="exact"/>
        <w:rPr>
          <w:sz w:val="20"/>
          <w:szCs w:val="20"/>
          <w:color w:val="auto"/>
        </w:rPr>
      </w:pPr>
    </w:p>
    <w:p>
      <w:pPr>
        <w:ind w:left="7700"/>
        <w:spacing w:after="0"/>
        <w:rPr>
          <w:sz w:val="20"/>
          <w:szCs w:val="20"/>
          <w:color w:val="auto"/>
        </w:rPr>
      </w:pPr>
      <w:r>
        <w:rPr>
          <w:rFonts w:ascii="Courier New" w:cs="Courier New" w:eastAsia="Courier New" w:hAnsi="Courier New"/>
          <w:sz w:val="16"/>
          <w:szCs w:val="16"/>
          <w:color w:val="auto"/>
        </w:rPr>
        <w:t>8</w:t>
      </w:r>
    </w:p>
    <w:p>
      <w:pPr>
        <w:spacing w:after="0" w:line="400"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EXHIBIT INDEX</w:t>
      </w:r>
    </w:p>
    <w:p>
      <w:pPr>
        <w:sectPr>
          <w:pgSz w:w="11900" w:h="16838" w:orient="portrait"/>
          <w:cols w:equalWidth="0" w:num="1">
            <w:col w:w="9919"/>
          </w:cols>
          <w:pgMar w:left="540" w:top="3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Exhibit</w:t>
      </w:r>
    </w:p>
    <w:p>
      <w:pPr>
        <w:spacing w:after="0" w:line="13"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Numbers</w:t>
      </w:r>
    </w:p>
    <w:p>
      <w:pPr>
        <w:spacing w:after="0" w:line="13"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840" w:space="720"/>
            <w:col w:w="5359"/>
          </w:cols>
          <w:pgMar w:left="540" w:top="308" w:right="1440" w:bottom="1440" w:gutter="0" w:footer="0" w:header="0"/>
          <w:type w:val="continuous"/>
        </w:sectPr>
      </w:pPr>
    </w:p>
    <w:p>
      <w:pPr>
        <w:spacing w:after="0" w:line="8" w:lineRule="exact"/>
        <w:rPr>
          <w:sz w:val="20"/>
          <w:szCs w:val="20"/>
          <w:color w:val="auto"/>
        </w:rPr>
      </w:pPr>
    </w:p>
    <w:p>
      <w:pPr>
        <w:jc w:val="both"/>
        <w:ind w:left="2240" w:right="2019" w:hanging="1424"/>
        <w:spacing w:after="0" w:line="269" w:lineRule="auto"/>
        <w:tabs>
          <w:tab w:leader="none" w:pos="22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Cravath, Swaine &amp; Moore as to the legality of securities offered under the Company's Stock Option Plan</w:t>
      </w:r>
    </w:p>
    <w:p>
      <w:pPr>
        <w:spacing w:after="0" w:line="175" w:lineRule="exact"/>
        <w:rPr>
          <w:sz w:val="20"/>
          <w:szCs w:val="20"/>
          <w:color w:val="auto"/>
        </w:rPr>
      </w:pPr>
    </w:p>
    <w:tbl>
      <w:tblPr>
        <w:tblLayout w:type="fixed"/>
        <w:tblInd w:w="620" w:type="dxa"/>
        <w:tblCellMar>
          <w:top w:w="0" w:type="dxa"/>
          <w:left w:w="0" w:type="dxa"/>
          <w:bottom w:w="0" w:type="dxa"/>
          <w:right w:w="0" w:type="dxa"/>
        </w:tblCellMar>
      </w:tblPr>
      <w:tr>
        <w:trPr>
          <w:trHeight w:val="193"/>
        </w:trPr>
        <w:tc>
          <w:tcPr>
            <w:tcW w:w="1060" w:type="dxa"/>
            <w:vAlign w:val="bottom"/>
          </w:tcPr>
          <w:p>
            <w:pPr>
              <w:spacing w:after="0"/>
              <w:rPr>
                <w:sz w:val="20"/>
                <w:szCs w:val="20"/>
                <w:color w:val="auto"/>
              </w:rPr>
            </w:pPr>
            <w:r>
              <w:rPr>
                <w:rFonts w:ascii="Courier New" w:cs="Courier New" w:eastAsia="Courier New" w:hAnsi="Courier New"/>
                <w:sz w:val="17"/>
                <w:szCs w:val="17"/>
                <w:color w:val="auto"/>
              </w:rPr>
              <w:t>23(a)</w:t>
            </w:r>
          </w:p>
        </w:tc>
        <w:tc>
          <w:tcPr>
            <w:tcW w:w="6220" w:type="dxa"/>
            <w:vAlign w:val="bottom"/>
          </w:tcPr>
          <w:p>
            <w:pPr>
              <w:ind w:left="560"/>
              <w:spacing w:after="0"/>
              <w:rPr>
                <w:sz w:val="20"/>
                <w:szCs w:val="20"/>
                <w:color w:val="auto"/>
              </w:rPr>
            </w:pPr>
            <w:r>
              <w:rPr>
                <w:rFonts w:ascii="Courier New" w:cs="Courier New" w:eastAsia="Courier New" w:hAnsi="Courier New"/>
                <w:sz w:val="17"/>
                <w:szCs w:val="17"/>
                <w:color w:val="auto"/>
              </w:rPr>
              <w:t>Consent of Independent Accountants</w:t>
            </w:r>
          </w:p>
        </w:tc>
      </w:tr>
      <w:tr>
        <w:trPr>
          <w:trHeight w:val="389"/>
        </w:trPr>
        <w:tc>
          <w:tcPr>
            <w:tcW w:w="1060" w:type="dxa"/>
            <w:vAlign w:val="bottom"/>
          </w:tcPr>
          <w:p>
            <w:pPr>
              <w:spacing w:after="0"/>
              <w:rPr>
                <w:sz w:val="20"/>
                <w:szCs w:val="20"/>
                <w:color w:val="auto"/>
              </w:rPr>
            </w:pPr>
            <w:r>
              <w:rPr>
                <w:rFonts w:ascii="Courier New" w:cs="Courier New" w:eastAsia="Courier New" w:hAnsi="Courier New"/>
                <w:sz w:val="17"/>
                <w:szCs w:val="17"/>
                <w:color w:val="auto"/>
              </w:rPr>
              <w:t>23(b)</w:t>
            </w:r>
          </w:p>
        </w:tc>
        <w:tc>
          <w:tcPr>
            <w:tcW w:w="6220" w:type="dxa"/>
            <w:vAlign w:val="bottom"/>
          </w:tcPr>
          <w:p>
            <w:pPr>
              <w:ind w:left="560"/>
              <w:spacing w:after="0"/>
              <w:rPr>
                <w:sz w:val="20"/>
                <w:szCs w:val="20"/>
                <w:color w:val="auto"/>
              </w:rPr>
            </w:pPr>
            <w:r>
              <w:rPr>
                <w:rFonts w:ascii="Courier New" w:cs="Courier New" w:eastAsia="Courier New" w:hAnsi="Courier New"/>
                <w:sz w:val="17"/>
                <w:szCs w:val="17"/>
                <w:color w:val="auto"/>
                <w:w w:val="98"/>
              </w:rPr>
              <w:t>Consent of Cravath, Swaine &amp; Moore (contained in Exhibit</w:t>
            </w:r>
          </w:p>
        </w:tc>
      </w:tr>
      <w:tr>
        <w:trPr>
          <w:trHeight w:val="194"/>
        </w:trPr>
        <w:tc>
          <w:tcPr>
            <w:tcW w:w="1060" w:type="dxa"/>
            <w:vAlign w:val="bottom"/>
          </w:tcPr>
          <w:p>
            <w:pPr>
              <w:spacing w:after="0"/>
              <w:rPr>
                <w:sz w:val="16"/>
                <w:szCs w:val="16"/>
                <w:color w:val="auto"/>
              </w:rPr>
            </w:pPr>
          </w:p>
        </w:tc>
        <w:tc>
          <w:tcPr>
            <w:tcW w:w="6220" w:type="dxa"/>
            <w:vAlign w:val="bottom"/>
          </w:tcPr>
          <w:p>
            <w:pPr>
              <w:ind w:left="560"/>
              <w:spacing w:after="0"/>
              <w:rPr>
                <w:sz w:val="20"/>
                <w:szCs w:val="20"/>
                <w:color w:val="auto"/>
              </w:rPr>
            </w:pPr>
            <w:r>
              <w:rPr>
                <w:rFonts w:ascii="Courier New" w:cs="Courier New" w:eastAsia="Courier New" w:hAnsi="Courier New"/>
                <w:sz w:val="17"/>
                <w:szCs w:val="17"/>
                <w:color w:val="auto"/>
              </w:rPr>
              <w:t>5 hereto)</w:t>
            </w:r>
          </w:p>
        </w:tc>
      </w:tr>
      <w:tr>
        <w:trPr>
          <w:trHeight w:val="389"/>
        </w:trPr>
        <w:tc>
          <w:tcPr>
            <w:tcW w:w="10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24</w:t>
            </w:r>
          </w:p>
        </w:tc>
        <w:tc>
          <w:tcPr>
            <w:tcW w:w="6220" w:type="dxa"/>
            <w:vAlign w:val="bottom"/>
          </w:tcPr>
          <w:p>
            <w:pPr>
              <w:ind w:left="560"/>
              <w:spacing w:after="0"/>
              <w:rPr>
                <w:sz w:val="20"/>
                <w:szCs w:val="20"/>
                <w:color w:val="auto"/>
              </w:rPr>
            </w:pPr>
            <w:r>
              <w:rPr>
                <w:rFonts w:ascii="Courier New" w:cs="Courier New" w:eastAsia="Courier New" w:hAnsi="Courier New"/>
                <w:sz w:val="17"/>
                <w:szCs w:val="17"/>
                <w:color w:val="auto"/>
              </w:rPr>
              <w:t>Power of Attorney</w:t>
            </w:r>
          </w:p>
        </w:tc>
      </w:tr>
    </w:tbl>
    <w:p>
      <w:pPr>
        <w:sectPr>
          <w:pgSz w:w="11900" w:h="16838" w:orient="portrait"/>
          <w:cols w:equalWidth="0" w:num="1">
            <w:col w:w="9919"/>
          </w:cols>
          <w:pgMar w:left="540" w:top="308" w:right="1440" w:bottom="1440" w:gutter="0" w:footer="0" w:header="0"/>
          <w:type w:val="continuous"/>
        </w:sectPr>
      </w:pPr>
    </w:p>
    <w:bookmarkStart w:id="8" w:name="page9"/>
    <w:bookmarkEnd w:id="8"/>
    <w:p>
      <w:pPr>
        <w:ind w:left="300"/>
        <w:spacing w:after="0"/>
        <w:rPr>
          <w:sz w:val="20"/>
          <w:szCs w:val="20"/>
          <w:color w:val="auto"/>
        </w:rPr>
      </w:pPr>
      <w:r>
        <w:rPr>
          <w:rFonts w:ascii="Courier New" w:cs="Courier New" w:eastAsia="Courier New" w:hAnsi="Courier New"/>
          <w:sz w:val="17"/>
          <w:szCs w:val="17"/>
          <w:color w:val="auto"/>
        </w:rPr>
        <w:t>1</w:t>
      </w:r>
    </w:p>
    <w:p>
      <w:pPr>
        <w:spacing w:after="0" w:line="2"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Exhibit 5</w:t>
      </w:r>
    </w:p>
    <w:p>
      <w:pPr>
        <w:spacing w:after="0" w:line="391"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[Letterhead of]</w:t>
      </w:r>
    </w:p>
    <w:p>
      <w:pPr>
        <w:spacing w:after="0" w:line="196"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Cravath, Swaine &amp; Moore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June 16, 1994</w:t>
      </w:r>
    </w:p>
    <w:p>
      <w:pPr>
        <w:spacing w:after="0" w:line="391" w:lineRule="exact"/>
        <w:rPr>
          <w:sz w:val="20"/>
          <w:szCs w:val="20"/>
          <w:color w:val="auto"/>
        </w:rPr>
      </w:pPr>
    </w:p>
    <w:p>
      <w:pPr>
        <w:ind w:left="2640"/>
        <w:spacing w:after="0"/>
        <w:rPr>
          <w:sz w:val="20"/>
          <w:szCs w:val="20"/>
          <w:color w:val="auto"/>
        </w:rPr>
      </w:pPr>
      <w:r>
        <w:rPr>
          <w:rFonts w:ascii="Courier New" w:cs="Courier New" w:eastAsia="Courier New" w:hAnsi="Courier New"/>
          <w:sz w:val="17"/>
          <w:szCs w:val="17"/>
          <w:color w:val="auto"/>
        </w:rPr>
        <w:t>The Washington Post Company</w:t>
      </w:r>
    </w:p>
    <w:p>
      <w:pPr>
        <w:spacing w:after="0" w:line="2"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500,000 Shares of Class B Common Stock</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Sirs:</w:t>
      </w:r>
    </w:p>
    <w:p>
      <w:pPr>
        <w:spacing w:after="0" w:line="199" w:lineRule="exact"/>
        <w:rPr>
          <w:sz w:val="20"/>
          <w:szCs w:val="20"/>
          <w:color w:val="auto"/>
        </w:rPr>
      </w:pPr>
    </w:p>
    <w:p>
      <w:pPr>
        <w:ind w:right="2219" w:firstLine="1517"/>
        <w:spacing w:after="0" w:line="241" w:lineRule="auto"/>
        <w:rPr>
          <w:sz w:val="20"/>
          <w:szCs w:val="20"/>
          <w:color w:val="auto"/>
        </w:rPr>
      </w:pPr>
      <w:r>
        <w:rPr>
          <w:rFonts w:ascii="Courier New" w:cs="Courier New" w:eastAsia="Courier New" w:hAnsi="Courier New"/>
          <w:sz w:val="17"/>
          <w:szCs w:val="17"/>
          <w:color w:val="auto"/>
        </w:rPr>
        <w:t>We have acted as counsel for The Washington Post Company, a Delaware corporation (the "Company"), in connection with the Registration Statement on form S-8 (the "Registration Statement") being filed by the Company with the Securities and Exchange Commission (the "Commission") under the Securities Act of 1933, and amended (the "Securities Act") with respect to 500,000 additional shares of Class B Common Stock, par value $1.00 per share, of the Company (the "Shares") reserved for issuance to officers and key employees of the Company under the Company's Stock Option Plan, as amended (the "Stock Option Plan").</w:t>
      </w:r>
    </w:p>
    <w:p>
      <w:pPr>
        <w:spacing w:after="0" w:line="204" w:lineRule="exact"/>
        <w:rPr>
          <w:sz w:val="20"/>
          <w:szCs w:val="20"/>
          <w:color w:val="auto"/>
        </w:rPr>
      </w:pPr>
    </w:p>
    <w:p>
      <w:pPr>
        <w:ind w:right="2219" w:firstLine="1517"/>
        <w:spacing w:after="0" w:line="241" w:lineRule="auto"/>
        <w:rPr>
          <w:sz w:val="20"/>
          <w:szCs w:val="20"/>
          <w:color w:val="auto"/>
        </w:rPr>
      </w:pPr>
      <w:r>
        <w:rPr>
          <w:rFonts w:ascii="Courier New" w:cs="Courier New" w:eastAsia="Courier New" w:hAnsi="Courier New"/>
          <w:sz w:val="17"/>
          <w:szCs w:val="17"/>
          <w:color w:val="auto"/>
        </w:rPr>
        <w:t>In connection with the foregoing, we have examined originals, or copies certified or otherwise identified to our satisfaction, of such documents, corporate records and other instruments as we have deemed necessary or appropriate for the purpose of this opinion. In this examination, we have assumed the genuineness of all signatures, the authenticity of all documents submitted to us as original documents and conformity to original documents of all documents submitted to us as certified or photostatic copies.</w:t>
      </w:r>
    </w:p>
    <w:p>
      <w:pPr>
        <w:spacing w:after="0" w:line="202" w:lineRule="exact"/>
        <w:rPr>
          <w:sz w:val="20"/>
          <w:szCs w:val="20"/>
          <w:color w:val="auto"/>
        </w:rPr>
      </w:pPr>
    </w:p>
    <w:p>
      <w:pPr>
        <w:ind w:right="2319" w:firstLine="1517"/>
        <w:spacing w:after="0" w:line="241" w:lineRule="auto"/>
        <w:rPr>
          <w:sz w:val="20"/>
          <w:szCs w:val="20"/>
          <w:color w:val="auto"/>
        </w:rPr>
      </w:pPr>
      <w:r>
        <w:rPr>
          <w:rFonts w:ascii="Courier New" w:cs="Courier New" w:eastAsia="Courier New" w:hAnsi="Courier New"/>
          <w:sz w:val="17"/>
          <w:szCs w:val="17"/>
          <w:color w:val="auto"/>
        </w:rPr>
        <w:t>Based upon the foregoing, we are of opinion that the Shares are validly authorized and, when issued under the Company's Stock Option Plan in accordance with the terms thereof, will be legally issued, fully paid and nonassessable.</w:t>
      </w:r>
    </w:p>
    <w:p>
      <w:pPr>
        <w:spacing w:after="0" w:line="199" w:lineRule="exact"/>
        <w:rPr>
          <w:sz w:val="20"/>
          <w:szCs w:val="20"/>
          <w:color w:val="auto"/>
        </w:rPr>
      </w:pPr>
    </w:p>
    <w:p>
      <w:pPr>
        <w:ind w:right="2219" w:firstLine="1517"/>
        <w:spacing w:after="0" w:line="241" w:lineRule="auto"/>
        <w:rPr>
          <w:sz w:val="20"/>
          <w:szCs w:val="20"/>
          <w:color w:val="auto"/>
        </w:rPr>
      </w:pPr>
      <w:r>
        <w:rPr>
          <w:rFonts w:ascii="Courier New" w:cs="Courier New" w:eastAsia="Courier New" w:hAnsi="Courier New"/>
          <w:sz w:val="17"/>
          <w:szCs w:val="17"/>
          <w:color w:val="auto"/>
        </w:rPr>
        <w:t>We are admitted to practice only in the State of New York and express no opinion as to matters governed by any laws other than the laws of the State of New York, the Federal laws of the United States of America and the General Corporation law of the State of Delaware.</w:t>
      </w:r>
    </w:p>
    <w:p>
      <w:pPr>
        <w:sectPr>
          <w:pgSz w:w="11900" w:h="16838" w:orient="portrait"/>
          <w:cols w:equalWidth="0" w:num="1">
            <w:col w:w="10219"/>
          </w:cols>
          <w:pgMar w:left="240" w:top="140" w:right="1440" w:bottom="1440" w:gutter="0" w:footer="0" w:header="0"/>
        </w:sectPr>
      </w:pPr>
    </w:p>
    <w:bookmarkStart w:id="9" w:name="page10"/>
    <w:bookmarkEnd w:id="9"/>
    <w:p>
      <w:pPr>
        <w:ind w:left="300"/>
        <w:spacing w:after="0"/>
        <w:rPr>
          <w:sz w:val="20"/>
          <w:szCs w:val="20"/>
          <w:color w:val="auto"/>
        </w:rPr>
      </w:pPr>
      <w:r>
        <w:rPr>
          <w:rFonts w:ascii="Courier New" w:cs="Courier New" w:eastAsia="Courier New" w:hAnsi="Courier New"/>
          <w:sz w:val="17"/>
          <w:szCs w:val="17"/>
          <w:color w:val="auto"/>
        </w:rPr>
        <w:t>2</w:t>
      </w:r>
    </w:p>
    <w:p>
      <w:pPr>
        <w:spacing w:after="0" w:line="2"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2</w:t>
      </w:r>
    </w:p>
    <w:p>
      <w:pPr>
        <w:spacing w:after="0" w:line="393" w:lineRule="exact"/>
        <w:rPr>
          <w:sz w:val="20"/>
          <w:szCs w:val="20"/>
          <w:color w:val="auto"/>
        </w:rPr>
      </w:pPr>
    </w:p>
    <w:p>
      <w:pPr>
        <w:ind w:right="2219" w:firstLine="1517"/>
        <w:spacing w:after="0" w:line="239" w:lineRule="auto"/>
        <w:rPr>
          <w:sz w:val="20"/>
          <w:szCs w:val="20"/>
          <w:color w:val="auto"/>
        </w:rPr>
      </w:pPr>
      <w:r>
        <w:rPr>
          <w:rFonts w:ascii="Courier New" w:cs="Courier New" w:eastAsia="Courier New" w:hAnsi="Courier New"/>
          <w:sz w:val="17"/>
          <w:szCs w:val="17"/>
          <w:color w:val="auto"/>
        </w:rPr>
        <w:t>We hereby consent to the filing of this opinion as an exhibit to the Registration Statement.</w:t>
      </w:r>
    </w:p>
    <w:p>
      <w:pPr>
        <w:spacing w:after="0" w:line="198"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Very truly yours,</w:t>
      </w:r>
    </w:p>
    <w:p>
      <w:pPr>
        <w:spacing w:after="0" w:line="196"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7"/>
          <w:szCs w:val="17"/>
          <w:color w:val="auto"/>
        </w:rPr>
        <w:t>Cravath, Swaine &amp; Moore</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Washington Post Company</w:t>
      </w:r>
    </w:p>
    <w:p>
      <w:pPr>
        <w:spacing w:after="0" w:line="2"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1150 15th Street, N.W.</w:t>
      </w:r>
    </w:p>
    <w:p>
      <w:pPr>
        <w:spacing w:after="0" w:line="2" w:lineRule="exact"/>
        <w:rPr>
          <w:sz w:val="20"/>
          <w:szCs w:val="20"/>
          <w:color w:val="auto"/>
        </w:rPr>
      </w:pPr>
    </w:p>
    <w:p>
      <w:pPr>
        <w:ind w:left="820"/>
        <w:spacing w:after="0"/>
        <w:tabs>
          <w:tab w:leader="none" w:pos="2420" w:val="left"/>
        </w:tabs>
        <w:rPr>
          <w:sz w:val="20"/>
          <w:szCs w:val="20"/>
          <w:color w:val="auto"/>
        </w:rPr>
      </w:pPr>
      <w:r>
        <w:rPr>
          <w:rFonts w:ascii="Courier New" w:cs="Courier New" w:eastAsia="Courier New" w:hAnsi="Courier New"/>
          <w:sz w:val="17"/>
          <w:szCs w:val="17"/>
          <w:color w:val="auto"/>
        </w:rPr>
        <w:t>Washington, DC</w:t>
      </w:r>
      <w:r>
        <w:rPr>
          <w:sz w:val="20"/>
          <w:szCs w:val="20"/>
          <w:color w:val="auto"/>
        </w:rPr>
        <w:tab/>
      </w:r>
      <w:r>
        <w:rPr>
          <w:rFonts w:ascii="Courier New" w:cs="Courier New" w:eastAsia="Courier New" w:hAnsi="Courier New"/>
          <w:sz w:val="16"/>
          <w:szCs w:val="16"/>
          <w:color w:val="auto"/>
        </w:rPr>
        <w:t>20071</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77A</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w:t>
      </w:r>
    </w:p>
    <w:p>
      <w:pPr>
        <w:sectPr>
          <w:pgSz w:w="11900" w:h="16838" w:orient="portrait"/>
          <w:cols w:equalWidth="0" w:num="1">
            <w:col w:w="10219"/>
          </w:cols>
          <w:pgMar w:left="240" w:top="308" w:right="1440" w:bottom="1440" w:gutter="0" w:footer="0" w:header="0"/>
        </w:sectPr>
      </w:pPr>
    </w:p>
    <w:bookmarkStart w:id="10" w:name="page11"/>
    <w:bookmarkEnd w:id="10"/>
    <w:p>
      <w:pPr>
        <w:ind w:left="300"/>
        <w:spacing w:after="0"/>
        <w:rPr>
          <w:sz w:val="20"/>
          <w:szCs w:val="20"/>
          <w:color w:val="auto"/>
        </w:rPr>
      </w:pPr>
      <w:r>
        <w:rPr>
          <w:rFonts w:ascii="Courier New" w:cs="Courier New" w:eastAsia="Courier New" w:hAnsi="Courier New"/>
          <w:sz w:val="17"/>
          <w:szCs w:val="17"/>
          <w:color w:val="auto"/>
        </w:rPr>
        <w:t>1</w:t>
      </w:r>
    </w:p>
    <w:p>
      <w:pPr>
        <w:spacing w:after="0" w:line="2"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Exhibit 23(a)</w:t>
      </w:r>
    </w:p>
    <w:p>
      <w:pPr>
        <w:spacing w:after="0" w:line="391"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CONSENT OF INDEPENDENT ACCOUNTANTS</w:t>
      </w:r>
    </w:p>
    <w:p>
      <w:pPr>
        <w:spacing w:after="0" w:line="199"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We hereby consent to the incorporation by reference in this Registration Statement on Form S-8 of the Washington Post Company (the "Company") of our report dated February 1, 1994 appearing on page 24 of the Annual Report on Form 10-K for the year ended January 2, 1994, and of our report dated April 22, 1994 related to the combined financial statements of KPRC and KSAT Television Stations (business units of H&amp;C Communications, Inc.) appearing in the current report on Form 8-K of the Company dated April 22, 1994.</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PRICE WATERHOUSE</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Washington, DC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23, 1994</w:t>
      </w:r>
    </w:p>
    <w:p>
      <w:pPr>
        <w:sectPr>
          <w:pgSz w:w="11900" w:h="16838" w:orient="portrait"/>
          <w:cols w:equalWidth="0" w:num="1">
            <w:col w:w="10219"/>
          </w:cols>
          <w:pgMar w:left="240" w:top="140" w:right="1440" w:bottom="1440" w:gutter="0" w:footer="0" w:header="0"/>
        </w:sectPr>
      </w:pPr>
    </w:p>
    <w:bookmarkStart w:id="11" w:name="page12"/>
    <w:bookmarkEnd w:id="11"/>
    <w:p>
      <w:pPr>
        <w:ind w:left="300"/>
        <w:spacing w:after="0"/>
        <w:rPr>
          <w:sz w:val="20"/>
          <w:szCs w:val="20"/>
          <w:color w:val="auto"/>
        </w:rPr>
      </w:pPr>
      <w:r>
        <w:rPr>
          <w:rFonts w:ascii="Courier New" w:cs="Courier New" w:eastAsia="Courier New" w:hAnsi="Courier New"/>
          <w:sz w:val="17"/>
          <w:szCs w:val="17"/>
          <w:color w:val="auto"/>
        </w:rPr>
        <w:t>1</w:t>
      </w:r>
    </w:p>
    <w:p>
      <w:pPr>
        <w:spacing w:after="0" w:line="4" w:lineRule="exact"/>
        <w:rPr>
          <w:sz w:val="20"/>
          <w:szCs w:val="20"/>
          <w:color w:val="auto"/>
        </w:rPr>
      </w:pPr>
    </w:p>
    <w:p>
      <w:pPr>
        <w:ind w:left="7080"/>
        <w:spacing w:after="0"/>
        <w:rPr>
          <w:sz w:val="20"/>
          <w:szCs w:val="20"/>
          <w:color w:val="auto"/>
        </w:rPr>
      </w:pPr>
      <w:r>
        <w:rPr>
          <w:rFonts w:ascii="Courier New" w:cs="Courier New" w:eastAsia="Courier New" w:hAnsi="Courier New"/>
          <w:sz w:val="16"/>
          <w:szCs w:val="16"/>
          <w:color w:val="auto"/>
        </w:rPr>
        <w:t>Exhibit 24</w:t>
      </w:r>
    </w:p>
    <w:p>
      <w:pPr>
        <w:spacing w:after="0" w:line="205"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Power of Attorney</w:t>
      </w:r>
    </w:p>
    <w:p>
      <w:pPr>
        <w:spacing w:after="0" w:line="2"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Registration Statements on Form S-8</w:t>
      </w:r>
    </w:p>
    <w:p>
      <w:pPr>
        <w:spacing w:after="0" w:line="199" w:lineRule="exact"/>
        <w:rPr>
          <w:sz w:val="20"/>
          <w:szCs w:val="20"/>
          <w:color w:val="auto"/>
        </w:rPr>
      </w:pPr>
    </w:p>
    <w:p>
      <w:pPr>
        <w:ind w:right="2219" w:firstLine="1719"/>
        <w:spacing w:after="0" w:line="242" w:lineRule="auto"/>
        <w:rPr>
          <w:sz w:val="20"/>
          <w:szCs w:val="20"/>
          <w:color w:val="auto"/>
        </w:rPr>
      </w:pPr>
      <w:r>
        <w:rPr>
          <w:rFonts w:ascii="Courier New" w:cs="Courier New" w:eastAsia="Courier New" w:hAnsi="Courier New"/>
          <w:sz w:val="17"/>
          <w:szCs w:val="17"/>
          <w:color w:val="auto"/>
        </w:rPr>
        <w:t>KNOW ALL MEN BY THESE PRESENTS that each of the undersigned directors and officers of The Washington Post Company, a Delaware corporation (hereinafter called the "Company"), hereby constitutes and appoints KATHARINE GRAHAM, DONALD E. GRAHAM, ALAN G. SPOON and JOHN B. MORSE, JR., and each of them, his or her true and lawful attorneys-in-fact and agents with full power to act without the others and with full power of substitution and resubstitution, for him or her and in his or her name, place and stead, in any and all capacities, to sign any and all Registration Statements on Form S-8, and any and all amendments thereto, required to be filed under the provisions of the Securities Act of 1933, as amended, for the registration under said Act of shares of the Company's Class B Common Stock, par value $1 per share, reserved for issuance under its Stock Option Plan adopted in 1971, as amended, with power where appropriate to affix the corporate seal of the Company thereto and to attest said seal, and to file each Registration Statement and amendment so signed, with all exhibits thereto, and any and all documents in connection therewith, with the Securities and Exchange Commission, hereby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any of them, or their or his or her substitute or substitutes, may lawfully do or cause to be done by virtue hereof.</w:t>
      </w:r>
    </w:p>
    <w:p>
      <w:pPr>
        <w:sectPr>
          <w:pgSz w:w="11900" w:h="16838" w:orient="portrait"/>
          <w:cols w:equalWidth="0" w:num="1">
            <w:col w:w="10219"/>
          </w:cols>
          <w:pgMar w:left="240" w:top="140" w:right="1440" w:bottom="1440" w:gutter="0" w:footer="0" w:header="0"/>
        </w:sectPr>
      </w:pPr>
    </w:p>
    <w:p>
      <w:pPr>
        <w:spacing w:after="0" w:line="6"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March 10, 1994.</w:t>
      </w:r>
    </w:p>
    <w:p>
      <w:pPr>
        <w:spacing w:after="0" w:line="200" w:lineRule="exact"/>
        <w:rPr>
          <w:sz w:val="20"/>
          <w:szCs w:val="20"/>
          <w:color w:val="auto"/>
        </w:rPr>
      </w:pPr>
    </w:p>
    <w:p>
      <w:pPr>
        <w:sectPr>
          <w:pgSz w:w="11900" w:h="16838" w:orient="portrait"/>
          <w:cols w:equalWidth="0" w:num="2">
            <w:col w:w="2320" w:space="220"/>
            <w:col w:w="7679"/>
          </w:cols>
          <w:pgMar w:left="240" w:top="140" w:right="1440" w:bottom="1440" w:gutter="0" w:footer="0" w:header="0"/>
          <w:type w:val="continuous"/>
        </w:sectPr>
      </w:pPr>
    </w:p>
    <w:p>
      <w:pPr>
        <w:spacing w:after="0" w:line="394"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 Donald E. Graham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Donald E. Graham, Chairman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and Chief Executive Officer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(Principal Executive Officer)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Director</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 Ralph E. Gomory</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Ralph E. Gomory, Director</w:t>
      </w:r>
    </w:p>
    <w:p>
      <w:pPr>
        <w:spacing w:after="0" w:line="779" w:lineRule="exact"/>
        <w:rPr>
          <w:sz w:val="20"/>
          <w:szCs w:val="20"/>
          <w:color w:val="auto"/>
        </w:rPr>
      </w:pPr>
    </w:p>
    <w:p>
      <w:pPr>
        <w:sectPr>
          <w:pgSz w:w="11900" w:h="16838" w:orient="portrait"/>
          <w:cols w:equalWidth="0" w:num="2">
            <w:col w:w="4440" w:space="720"/>
            <w:col w:w="5059"/>
          </w:cols>
          <w:pgMar w:left="240" w:top="140" w:right="1440" w:bottom="1440" w:gutter="0" w:footer="0" w:header="0"/>
          <w:type w:val="continuous"/>
        </w:sectPr>
      </w:pPr>
    </w:p>
    <w:p>
      <w:pPr>
        <w:ind w:left="300"/>
        <w:spacing w:after="0"/>
        <w:rPr>
          <w:sz w:val="20"/>
          <w:szCs w:val="20"/>
          <w:color w:val="auto"/>
        </w:rPr>
      </w:pPr>
      <w:r>
        <w:rPr>
          <w:rFonts w:ascii="Courier New" w:cs="Courier New" w:eastAsia="Courier New" w:hAnsi="Courier New"/>
          <w:sz w:val="17"/>
          <w:szCs w:val="17"/>
          <w:color w:val="auto"/>
        </w:rPr>
        <w:t>/S/ Alan G. Spoon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Alan G. Spoon, President,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Chief Operating Officer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ind w:left="300"/>
        <w:spacing w:after="0"/>
        <w:rPr>
          <w:sz w:val="20"/>
          <w:szCs w:val="20"/>
          <w:color w:val="auto"/>
        </w:rPr>
      </w:pPr>
      <w:r>
        <w:rPr>
          <w:rFonts w:ascii="Courier New" w:cs="Courier New" w:eastAsia="Courier New" w:hAnsi="Courier New"/>
          <w:sz w:val="17"/>
          <w:szCs w:val="17"/>
          <w:color w:val="auto"/>
        </w:rPr>
        <w:t>/S/ Nicholas deB. Katzenbach</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Nicholas deB. Katzenbach, Director</w:t>
      </w:r>
    </w:p>
    <w:p>
      <w:pPr>
        <w:spacing w:after="0" w:line="584" w:lineRule="exact"/>
        <w:rPr>
          <w:sz w:val="20"/>
          <w:szCs w:val="20"/>
          <w:color w:val="auto"/>
        </w:rPr>
      </w:pPr>
    </w:p>
    <w:p>
      <w:pPr>
        <w:sectPr>
          <w:pgSz w:w="11900" w:h="16838" w:orient="portrait"/>
          <w:cols w:equalWidth="0" w:num="2">
            <w:col w:w="4440" w:space="720"/>
            <w:col w:w="5059"/>
          </w:cols>
          <w:pgMar w:left="240" w:top="140" w:right="1440" w:bottom="1440" w:gutter="0" w:footer="0" w:header="0"/>
          <w:type w:val="continuous"/>
        </w:sectPr>
      </w:pPr>
    </w:p>
    <w:p>
      <w:pPr>
        <w:ind w:left="300"/>
        <w:spacing w:after="0"/>
        <w:rPr>
          <w:sz w:val="20"/>
          <w:szCs w:val="20"/>
          <w:color w:val="auto"/>
        </w:rPr>
      </w:pPr>
      <w:r>
        <w:rPr>
          <w:rFonts w:ascii="Courier New" w:cs="Courier New" w:eastAsia="Courier New" w:hAnsi="Courier New"/>
          <w:sz w:val="17"/>
          <w:szCs w:val="17"/>
          <w:color w:val="auto"/>
        </w:rPr>
        <w:t>/S/ Katharine Graham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Katharine Graham, Chairman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Committee of the Board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Director</w:t>
      </w:r>
    </w:p>
    <w:p>
      <w:pPr>
        <w:spacing w:after="0" w:line="20" w:lineRule="exact"/>
        <w:rPr>
          <w:sz w:val="20"/>
          <w:szCs w:val="20"/>
          <w:color w:val="auto"/>
        </w:rPr>
      </w:pPr>
      <w:r>
        <w:rPr>
          <w:sz w:val="20"/>
          <w:szCs w:val="20"/>
          <w:color w:val="auto"/>
        </w:rPr>
        <w:br w:type="column"/>
      </w:r>
    </w:p>
    <w:p>
      <w:pPr>
        <w:ind w:left="300"/>
        <w:spacing w:after="0"/>
        <w:rPr>
          <w:sz w:val="20"/>
          <w:szCs w:val="20"/>
          <w:color w:val="auto"/>
        </w:rPr>
      </w:pPr>
      <w:r>
        <w:rPr>
          <w:rFonts w:ascii="Courier New" w:cs="Courier New" w:eastAsia="Courier New" w:hAnsi="Courier New"/>
          <w:sz w:val="17"/>
          <w:szCs w:val="17"/>
          <w:color w:val="auto"/>
        </w:rPr>
        <w:t>/S/ Donald R. Keough</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Donald R. Keough, Director</w:t>
      </w:r>
    </w:p>
    <w:p>
      <w:pPr>
        <w:spacing w:after="0" w:line="584" w:lineRule="exact"/>
        <w:rPr>
          <w:sz w:val="20"/>
          <w:szCs w:val="20"/>
          <w:color w:val="auto"/>
        </w:rPr>
      </w:pPr>
    </w:p>
    <w:p>
      <w:pPr>
        <w:sectPr>
          <w:pgSz w:w="11900" w:h="16838" w:orient="portrait"/>
          <w:cols w:equalWidth="0" w:num="2">
            <w:col w:w="4440" w:space="720"/>
            <w:col w:w="5059"/>
          </w:cols>
          <w:pgMar w:left="240" w:top="140" w:right="1440" w:bottom="1440" w:gutter="0" w:footer="0" w:header="0"/>
          <w:type w:val="continuous"/>
        </w:sectPr>
      </w:pPr>
    </w:p>
    <w:p>
      <w:pPr>
        <w:ind w:left="300"/>
        <w:spacing w:after="0"/>
        <w:rPr>
          <w:sz w:val="20"/>
          <w:szCs w:val="20"/>
          <w:color w:val="auto"/>
        </w:rPr>
      </w:pPr>
      <w:r>
        <w:rPr>
          <w:rFonts w:ascii="Courier New" w:cs="Courier New" w:eastAsia="Courier New" w:hAnsi="Courier New"/>
          <w:sz w:val="17"/>
          <w:szCs w:val="17"/>
          <w:color w:val="auto"/>
        </w:rPr>
        <w:t>/S/ John B. Morse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B. Morse, Jr., Vice President-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Finance (Principal Financial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Accounting Officer)</w:t>
      </w:r>
    </w:p>
    <w:p>
      <w:pPr>
        <w:spacing w:after="0" w:line="20" w:lineRule="exact"/>
        <w:rPr>
          <w:sz w:val="20"/>
          <w:szCs w:val="20"/>
          <w:color w:val="auto"/>
        </w:rPr>
      </w:pPr>
      <w:r>
        <w:rPr>
          <w:sz w:val="20"/>
          <w:szCs w:val="20"/>
          <w:color w:val="auto"/>
        </w:rPr>
        <w:br w:type="column"/>
      </w:r>
    </w:p>
    <w:p>
      <w:pPr>
        <w:ind w:left="300"/>
        <w:spacing w:after="0"/>
        <w:rPr>
          <w:sz w:val="20"/>
          <w:szCs w:val="20"/>
          <w:color w:val="auto"/>
        </w:rPr>
      </w:pPr>
      <w:r>
        <w:rPr>
          <w:rFonts w:ascii="Courier New" w:cs="Courier New" w:eastAsia="Courier New" w:hAnsi="Courier New"/>
          <w:sz w:val="17"/>
          <w:szCs w:val="17"/>
          <w:color w:val="auto"/>
        </w:rPr>
        <w:t>/S/ Anthony J.F. O'Reilly</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Anthony J.F. O'Reilly, Director</w:t>
      </w:r>
    </w:p>
    <w:p>
      <w:pPr>
        <w:spacing w:after="0" w:line="584" w:lineRule="exact"/>
        <w:rPr>
          <w:sz w:val="20"/>
          <w:szCs w:val="20"/>
          <w:color w:val="auto"/>
        </w:rPr>
      </w:pPr>
    </w:p>
    <w:p>
      <w:pPr>
        <w:sectPr>
          <w:pgSz w:w="11900" w:h="16838" w:orient="portrait"/>
          <w:cols w:equalWidth="0" w:num="2">
            <w:col w:w="4440" w:space="720"/>
            <w:col w:w="5059"/>
          </w:cols>
          <w:pgMar w:left="240" w:top="140" w:right="1440" w:bottom="1440" w:gutter="0" w:footer="0" w:header="0"/>
          <w:type w:val="continuous"/>
        </w:sectPr>
      </w:pPr>
    </w:p>
    <w:p>
      <w:pPr>
        <w:ind w:left="300"/>
        <w:spacing w:after="0"/>
        <w:rPr>
          <w:sz w:val="20"/>
          <w:szCs w:val="20"/>
          <w:color w:val="auto"/>
        </w:rPr>
      </w:pPr>
      <w:r>
        <w:rPr>
          <w:rFonts w:ascii="Courier New" w:cs="Courier New" w:eastAsia="Courier New" w:hAnsi="Courier New"/>
          <w:sz w:val="17"/>
          <w:szCs w:val="17"/>
          <w:color w:val="auto"/>
        </w:rPr>
        <w:t>/S/ Benjamin C. Bradlee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Benjamin C. Bradlee, Director</w:t>
      </w:r>
    </w:p>
    <w:p>
      <w:pPr>
        <w:spacing w:after="0" w:line="20" w:lineRule="exact"/>
        <w:rPr>
          <w:sz w:val="20"/>
          <w:szCs w:val="20"/>
          <w:color w:val="auto"/>
        </w:rPr>
      </w:pPr>
      <w:r>
        <w:rPr>
          <w:sz w:val="20"/>
          <w:szCs w:val="20"/>
          <w:color w:val="auto"/>
        </w:rPr>
        <w:br w:type="column"/>
      </w:r>
    </w:p>
    <w:p>
      <w:pPr>
        <w:ind w:left="300"/>
        <w:spacing w:after="0"/>
        <w:rPr>
          <w:sz w:val="20"/>
          <w:szCs w:val="20"/>
          <w:color w:val="auto"/>
        </w:rPr>
      </w:pPr>
      <w:r>
        <w:rPr>
          <w:rFonts w:ascii="Courier New" w:cs="Courier New" w:eastAsia="Courier New" w:hAnsi="Courier New"/>
          <w:sz w:val="17"/>
          <w:szCs w:val="17"/>
          <w:color w:val="auto"/>
        </w:rPr>
        <w:t>/S/ Barbara Scott Preiskel</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Barbara Scott Preiskel, Director</w:t>
      </w:r>
    </w:p>
    <w:p>
      <w:pPr>
        <w:spacing w:after="0" w:line="196" w:lineRule="exact"/>
        <w:rPr>
          <w:sz w:val="20"/>
          <w:szCs w:val="20"/>
          <w:color w:val="auto"/>
        </w:rPr>
      </w:pPr>
    </w:p>
    <w:p>
      <w:pPr>
        <w:sectPr>
          <w:pgSz w:w="11900" w:h="16838" w:orient="portrait"/>
          <w:cols w:equalWidth="0" w:num="2">
            <w:col w:w="4440" w:space="720"/>
            <w:col w:w="5059"/>
          </w:cols>
          <w:pgMar w:left="240" w:top="140" w:right="1440" w:bottom="1440" w:gutter="0" w:footer="0" w:header="0"/>
          <w:type w:val="continuous"/>
        </w:sectPr>
      </w:pPr>
    </w:p>
    <w:p>
      <w:pPr>
        <w:ind w:left="300"/>
        <w:spacing w:after="0"/>
        <w:rPr>
          <w:sz w:val="20"/>
          <w:szCs w:val="20"/>
          <w:color w:val="auto"/>
        </w:rPr>
      </w:pPr>
      <w:r>
        <w:rPr>
          <w:rFonts w:ascii="Courier New" w:cs="Courier New" w:eastAsia="Courier New" w:hAnsi="Courier New"/>
          <w:sz w:val="17"/>
          <w:szCs w:val="17"/>
          <w:color w:val="auto"/>
        </w:rPr>
        <w:t>/S/ James E. Burke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E. Burke, Director</w:t>
      </w:r>
    </w:p>
    <w:p>
      <w:pPr>
        <w:spacing w:after="0" w:line="20" w:lineRule="exact"/>
        <w:rPr>
          <w:sz w:val="20"/>
          <w:szCs w:val="20"/>
          <w:color w:val="auto"/>
        </w:rPr>
      </w:pPr>
      <w:r>
        <w:rPr>
          <w:sz w:val="20"/>
          <w:szCs w:val="20"/>
          <w:color w:val="auto"/>
        </w:rPr>
        <w:br w:type="column"/>
      </w:r>
    </w:p>
    <w:p>
      <w:pPr>
        <w:ind w:left="300"/>
        <w:spacing w:after="0"/>
        <w:rPr>
          <w:sz w:val="20"/>
          <w:szCs w:val="20"/>
          <w:color w:val="auto"/>
        </w:rPr>
      </w:pPr>
      <w:r>
        <w:rPr>
          <w:rFonts w:ascii="Courier New" w:cs="Courier New" w:eastAsia="Courier New" w:hAnsi="Courier New"/>
          <w:sz w:val="17"/>
          <w:szCs w:val="17"/>
          <w:color w:val="auto"/>
        </w:rPr>
        <w:t>/S/ William J. Ruane</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William J. Ruane, Director</w:t>
      </w:r>
    </w:p>
    <w:p>
      <w:pPr>
        <w:sectPr>
          <w:pgSz w:w="11900" w:h="16838" w:orient="portrait"/>
          <w:cols w:equalWidth="0" w:num="2">
            <w:col w:w="4440" w:space="720"/>
            <w:col w:w="5059"/>
          </w:cols>
          <w:pgMar w:left="240" w:top="140" w:right="1440" w:bottom="1440" w:gutter="0" w:footer="0" w:header="0"/>
          <w:type w:val="continuous"/>
        </w:sectPr>
      </w:pPr>
    </w:p>
    <w:bookmarkStart w:id="12" w:name="page13"/>
    <w:bookmarkEnd w:id="12"/>
    <w:p>
      <w:pPr>
        <w:ind w:left="300"/>
        <w:spacing w:after="0"/>
        <w:rPr>
          <w:sz w:val="20"/>
          <w:szCs w:val="20"/>
          <w:color w:val="auto"/>
        </w:rPr>
      </w:pPr>
      <w:r>
        <w:rPr>
          <w:rFonts w:ascii="Courier New" w:cs="Courier New" w:eastAsia="Courier New" w:hAnsi="Courier New"/>
          <w:sz w:val="17"/>
          <w:szCs w:val="17"/>
          <w:color w:val="auto"/>
        </w:rPr>
        <w:t>2</w:t>
      </w:r>
    </w:p>
    <w:p>
      <w:pPr>
        <w:spacing w:after="0" w:line="4" w:lineRule="exact"/>
        <w:rPr>
          <w:sz w:val="20"/>
          <w:szCs w:val="20"/>
          <w:color w:val="auto"/>
        </w:rPr>
      </w:pPr>
    </w:p>
    <w:p>
      <w:pPr>
        <w:ind w:left="800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 Martin Cohen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Martin Cohen,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 Richard D. Simmons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Richard D. Simmons, Director</w:t>
      </w:r>
    </w:p>
    <w:p>
      <w:pPr>
        <w:spacing w:after="0" w:line="196" w:lineRule="exact"/>
        <w:rPr>
          <w:sz w:val="20"/>
          <w:szCs w:val="20"/>
          <w:color w:val="auto"/>
        </w:rPr>
      </w:pPr>
    </w:p>
    <w:p>
      <w:pPr>
        <w:sectPr>
          <w:pgSz w:w="11900" w:h="16838" w:orient="portrait"/>
          <w:cols w:equalWidth="0" w:num="2">
            <w:col w:w="4440" w:space="720"/>
            <w:col w:w="5059"/>
          </w:cols>
          <w:pgMar w:left="240" w:top="308" w:right="1440" w:bottom="1440" w:gutter="0" w:footer="0" w:header="0"/>
          <w:type w:val="continuous"/>
        </w:sectPr>
      </w:pPr>
    </w:p>
    <w:p>
      <w:pPr>
        <w:ind w:left="300"/>
        <w:spacing w:after="0"/>
        <w:rPr>
          <w:sz w:val="20"/>
          <w:szCs w:val="20"/>
          <w:color w:val="auto"/>
        </w:rPr>
      </w:pPr>
      <w:r>
        <w:rPr>
          <w:rFonts w:ascii="Courier New" w:cs="Courier New" w:eastAsia="Courier New" w:hAnsi="Courier New"/>
          <w:sz w:val="17"/>
          <w:szCs w:val="17"/>
          <w:color w:val="auto"/>
        </w:rPr>
        <w:t>/S/ George J. Gillespie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George J. Gillespie, III, Director</w:t>
      </w:r>
    </w:p>
    <w:p>
      <w:pPr>
        <w:spacing w:after="0" w:line="20" w:lineRule="exact"/>
        <w:rPr>
          <w:sz w:val="20"/>
          <w:szCs w:val="20"/>
          <w:color w:val="auto"/>
        </w:rPr>
      </w:pPr>
      <w:r>
        <w:rPr>
          <w:sz w:val="20"/>
          <w:szCs w:val="20"/>
          <w:color w:val="auto"/>
        </w:rPr>
        <w:br w:type="column"/>
      </w:r>
    </w:p>
    <w:p>
      <w:pPr>
        <w:ind w:left="300"/>
        <w:spacing w:after="0"/>
        <w:rPr>
          <w:sz w:val="20"/>
          <w:szCs w:val="20"/>
          <w:color w:val="auto"/>
        </w:rPr>
      </w:pPr>
      <w:r>
        <w:rPr>
          <w:rFonts w:ascii="Courier New" w:cs="Courier New" w:eastAsia="Courier New" w:hAnsi="Courier New"/>
          <w:sz w:val="17"/>
          <w:szCs w:val="17"/>
          <w:color w:val="auto"/>
        </w:rPr>
        <w:t>/S/ George W. Wilson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George W. Wilson, Director</w:t>
      </w:r>
    </w:p>
    <w:sectPr>
      <w:pgSz w:w="11900" w:h="16838" w:orient="portrait"/>
      <w:cols w:equalWidth="0" w:num="2">
        <w:col w:w="4440" w:space="720"/>
        <w:col w:w="5059"/>
      </w:cols>
      <w:pgMar w:left="240" w:top="30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212"/>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lowerLetter"/>
      <w:start w:val="1"/>
    </w:lvl>
  </w:abstractNum>
  <w:abstractNum w:abstractNumId="3">
    <w:nsid w:val="7545E146"/>
    <w:multiLevelType w:val="hybridMultilevel"/>
    <w:lvl w:ilvl="0">
      <w:lvlJc w:val="left"/>
      <w:lvlText w:val="4"/>
      <w:numFmt w:val="bullet"/>
      <w:start w:val="1"/>
    </w:lvl>
  </w:abstractNum>
  <w:abstractNum w:abstractNumId="4">
    <w:nsid w:val="515F007C"/>
    <w:multiLevelType w:val="hybridMultilevel"/>
    <w:lvl w:ilvl="0">
      <w:lvlJc w:val="left"/>
      <w:lvlText w:val="5"/>
      <w:numFmt w:val="bullet"/>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lowerRoman"/>
      <w:start w:val="1"/>
    </w:lvl>
  </w:abstractNum>
  <w:abstractNum w:abstractNumId="8">
    <w:nsid w:val="216231B"/>
    <w:multiLevelType w:val="hybridMultilevel"/>
    <w:lvl w:ilvl="0">
      <w:lvlJc w:val="left"/>
      <w:lvlText w:val="(%1)"/>
      <w:numFmt w:val="decimal"/>
      <w:start w:val="2"/>
    </w:lvl>
  </w:abstractNum>
  <w:abstractNum w:abstractNumId="9">
    <w:nsid w:val="1F16E9E8"/>
    <w:multiLevelType w:val="hybridMultilevel"/>
    <w:lvl w:ilvl="0">
      <w:lvlJc w:val="left"/>
      <w:lvlText w:val="(%1)"/>
      <w:numFmt w:val="lowerLetter"/>
      <w:start w:val="2"/>
    </w:lvl>
  </w:abstractNum>
  <w:abstractNum w:abstractNumId="10">
    <w:nsid w:val="1190CDE7"/>
    <w:multiLevelType w:val="hybridMultilevel"/>
    <w:lvl w:ilvl="0">
      <w:lvlJc w:val="left"/>
      <w:lvlText w:val="(%1)"/>
      <w:numFmt w:val="lowerLetter"/>
      <w:start w:val="3"/>
    </w:lvl>
  </w:abstractNum>
  <w:abstractNum w:abstractNumId="11">
    <w:nsid w:val="66EF438D"/>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2019-12-13T07:53:52Z</dcterms:created>
  <dcterms:modified xsi:type="dcterms:W3CDTF">2019-12-13T07:53:52Z</dcterms:modified>
</cp:coreProperties>
</file>