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1, 2024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1, 2024, Graham Holdings Company issued a press release announcing the Company’s earnings for the first quarter ended March 31, 2024. A copy of this press release is furnished with this report as an exhibit to this Form 8-K.</w:t>
      </w:r>
    </w:p>
    <w:p>
      <w:pPr>
        <w:spacing w:after="0" w:line="11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591820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079" w:right="10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May 1, 2024.</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9"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50" w:lineRule="exact"/>
        <w:rPr>
          <w:sz w:val="20"/>
          <w:szCs w:val="20"/>
          <w:color w:val="auto"/>
        </w:rPr>
      </w:pPr>
    </w:p>
    <w:p>
      <w:pPr>
        <w:sectPr>
          <w:pgSz w:w="11900" w:h="16838" w:orient="portrait"/>
          <w:cols w:equalWidth="0" w:num="3">
            <w:col w:w="780" w:space="720"/>
            <w:col w:w="6520" w:space="720"/>
            <w:col w:w="2500"/>
          </w:cols>
          <w:pgMar w:left="320" w:top="1039"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May 1, 2024</w:t>
      </w:r>
    </w:p>
    <w:p>
      <w:pPr>
        <w:spacing w:after="0" w:line="200" w:lineRule="exact"/>
        <w:rPr>
          <w:sz w:val="20"/>
          <w:szCs w:val="20"/>
          <w:color w:val="auto"/>
        </w:rPr>
      </w:pPr>
    </w:p>
    <w:p>
      <w:pPr>
        <w:sectPr>
          <w:pgSz w:w="11900" w:h="16838" w:orient="portrait"/>
          <w:cols w:equalWidth="0" w:num="2">
            <w:col w:w="8020" w:space="720"/>
            <w:col w:w="2500"/>
          </w:cols>
          <w:pgMar w:left="320" w:top="1039" w:right="339" w:bottom="1440" w:gutter="0" w:footer="0" w:header="0"/>
          <w:type w:val="continuous"/>
        </w:sectPr>
      </w:pP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QUARTER EARNINGS</w:t>
      </w:r>
    </w:p>
    <w:p>
      <w:pPr>
        <w:sectPr>
          <w:pgSz w:w="11900" w:h="16838" w:orient="portrait"/>
          <w:cols w:equalWidth="0" w:num="1">
            <w:col w:w="11240"/>
          </w:cols>
          <w:pgMar w:left="320" w:top="1039" w:right="339" w:bottom="1440" w:gutter="0" w:footer="0" w:header="0"/>
          <w:type w:val="continuous"/>
        </w:sectPr>
      </w:pP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ARLINGTON, VA - Graham Holdings Company (NYSE: GHC) today reported its financial results for the first quarter of 2024. The Company also filed its Form 10-Q today for the quarter ended March 31, 2024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2024 was $1,152.7 million, up 12% from $1,031.5 million in the first quarter of 2023. Revenues increased at</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education, healthcare and automotive, partially offset by declines at manufacturing and other businesses. The Company reported operating income of $35.4 million for the first quarter of 2024, compared to $27.7 million for the first quarter of 2023. The improvement in operating</w:t>
      </w:r>
    </w:p>
    <w:p>
      <w:pPr>
        <w:spacing w:after="0" w:line="235" w:lineRule="auto"/>
        <w:rPr>
          <w:sz w:val="20"/>
          <w:szCs w:val="20"/>
          <w:color w:val="auto"/>
        </w:rPr>
      </w:pPr>
      <w:r>
        <w:rPr>
          <w:rFonts w:ascii="Arial" w:cs="Arial" w:eastAsia="Arial" w:hAnsi="Arial"/>
          <w:sz w:val="18"/>
          <w:szCs w:val="18"/>
          <w:color w:val="auto"/>
        </w:rPr>
        <w:t>results is due to increases at education, television broadcasting and healthcare, and reduced losses at other businesses, partially offset by</w:t>
      </w:r>
    </w:p>
    <w:p>
      <w:pPr>
        <w:ind w:right="60"/>
        <w:spacing w:after="0" w:line="226" w:lineRule="auto"/>
        <w:rPr>
          <w:sz w:val="20"/>
          <w:szCs w:val="20"/>
          <w:color w:val="auto"/>
        </w:rPr>
      </w:pPr>
      <w:r>
        <w:rPr>
          <w:rFonts w:ascii="Arial" w:cs="Arial" w:eastAsia="Arial" w:hAnsi="Arial"/>
          <w:sz w:val="18"/>
          <w:szCs w:val="18"/>
          <w:color w:val="auto"/>
        </w:rPr>
        <w:t>declines at manufacturing and automotive. The Company reported adjusted operating cash flow (non-GAAP) for 2024 of $82.8 million for the first quarter of 2024, compared to $71.6 million for the first quarter of 2023. Adjusted operating cash flow improved at education, television</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broadcasting, healthcare and other businesses, partially offset by declines at manufacturing and automotive. Capital expenditures totaled $21.5 million and $22.3 million for the first quarter of 2024 and 2023,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business acquisitions or dispositions during the first quarter of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2024, the Company had $815.6 million in borrowings outstanding at an average interest rate of 6.4%, including $108.1 million</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outstanding on its $300 million revolving credit facility. Cash, marketable equity securities and other investments totaled $981.9 million at March 31, 2024.</w:t>
      </w:r>
    </w:p>
    <w:p>
      <w:pPr>
        <w:spacing w:after="0" w:line="1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Overall, the Company recognized $104.2 million and $18.0 million in net gains on marketable equity securities in the first quarter of 2024 and 2023,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the Company purchased a total of 28,606 shares of its Class B common stock at a cost of $20.0 million. At</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March 31, 2024, there were 4,450,593 shares outstanding. On May 4, 2023, the Board of Directors authorized the Company to acquire up to 500,000 shares of its Class B common stock; the Company has remaining authorization for 207,797 shares as of March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reported net income attributable to common shares of $124.4 million ($27.72 per share) for the first quarter of 2024, compared to $52.3 million ($10.88 per share) for the first quarter of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the first quarter of 2024 and 2023 were affected by a number of items as described in the Non-GAAP Financial Information</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schedule attached to this release. Excluding these items, net income attributable to common shares was $50.4 million ($11.24 per share) for the first quarter of 2024, compared to $40.2 million ($8.36 per share) for the first quarter of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2023 Annual Report to Stockholders, are “forward-</w:t>
      </w:r>
    </w:p>
    <w:p>
      <w:pPr>
        <w:spacing w:after="0" w:line="235" w:lineRule="auto"/>
        <w:rPr>
          <w:sz w:val="20"/>
          <w:szCs w:val="20"/>
          <w:color w:val="auto"/>
        </w:rPr>
      </w:pPr>
      <w:r>
        <w:rPr>
          <w:rFonts w:ascii="Arial" w:cs="Arial" w:eastAsia="Arial" w:hAnsi="Arial"/>
          <w:sz w:val="18"/>
          <w:szCs w:val="18"/>
          <w:color w:val="auto"/>
        </w:rPr>
        <w:t>looking statements” within the meaning of the Private Securities Litigation Reform Act of 1995. Forward-looking statements are based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 could cause actual results to differ from those stated, including, without limitation, comments about expectations related to acquisitions or</w:t>
      </w:r>
    </w:p>
    <w:p>
      <w:pPr>
        <w:spacing w:after="0" w:line="235"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w:t>
      </w: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39" w:right="379" w:bottom="1440" w:gutter="0" w:footer="0" w:header="0"/>
        </w:sectPr>
      </w:pPr>
    </w:p>
    <w:bookmarkStart w:id="6" w:name="page7"/>
    <w:bookmarkEnd w:id="6"/>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1,152,662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1,031,546</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1,083,942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969,176</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22,527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20,025</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10,751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13,944</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35,442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27,656</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2,331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4,661</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2,178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1,204</w:t>
            </w:r>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(19,328)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(14,294)</w:t>
            </w: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42,417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31,845</w:t>
            </w: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104,152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18,022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1,647</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w:t>
            </w: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168,839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72,177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43,500</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125,339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52,977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124,380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27.87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4,432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27.72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4,457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4,776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422,598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378,041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113,058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112,877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101,903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114,584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128,201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102,059</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303,840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232,561</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83,298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92,008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1,152,662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1,031,546</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392,011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355,001</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83,425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84,294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98,834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107,256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122,110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99,123</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294,188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221,718</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112,252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123,009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15,212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14,073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1,117,220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1,003,890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30,587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23,040</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29,633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28,583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3,069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7,328</w:t>
            </w: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6,091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9,652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10,843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(28,954)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(31,001)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(14,636)</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35,442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27,656</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2,974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4,416</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1,350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1,362</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3,120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636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954</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2,671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3,095</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10,751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61"/>
        </w:trPr>
        <w:tc>
          <w:tcPr>
            <w:tcW w:w="79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Long-Lived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33,561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27,456</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30,983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29,945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6,189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12,190</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6,727</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3,890</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9,652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10,843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(26,283)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(27,906)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(14,636)</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6"/>
        </w:trPr>
        <w:tc>
          <w:tcPr>
            <w:tcW w:w="79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46,193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106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93" w:right="339" w:bottom="1067"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9,305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8,968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2,868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3,036</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2,715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2,282</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1,594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1,104</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1,713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1,113</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4,183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22,527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4,110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2,198</w:t>
            </w: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1,639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860</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627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4,758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4,357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1,940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945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14,034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9,243</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46,976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38,622</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35,490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33,841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9,531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14,747</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13,079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9,351</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794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11,380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11,961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(23,965)</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1"/>
        </w:trPr>
        <w:tc>
          <w:tcPr>
            <w:tcW w:w="794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(13,542)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(12,944)</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82,754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71,613</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40" w:hanging="271"/>
        <w:spacing w:after="0" w:line="285" w:lineRule="auto"/>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7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269,798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227,076</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80,122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78,341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72,122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73,587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2,588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2,372</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1"/>
        </w:trPr>
        <w:tc>
          <w:tcPr>
            <w:tcW w:w="7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422,598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378,041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238,486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205,775</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74,603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71,258</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67,542</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69,836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10,173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7,210</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2,974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392,011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355,001</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31,312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21,301</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5,519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4,580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3,751</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(7,585)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(4,838)</w:t>
            </w: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(2,974)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(3,939)</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30,587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61"/>
        </w:trPr>
        <w:tc>
          <w:tcPr>
            <w:tcW w:w="79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 Assets and Impairment of Long-Lived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940" w:type="dxa"/>
            <w:vAlign w:val="bottom"/>
          </w:tcPr>
          <w:p>
            <w:pPr>
              <w:ind w:left="1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31,312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21,301</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5,519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7,083</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4,580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3,751</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(7,585)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(4,838)</w:t>
            </w: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33,561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27,456</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7,356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6,330</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903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1,102</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1,019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1,509</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9,305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163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1,781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w:t>
            </w: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1,818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1,024</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348</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4,110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7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38,831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27,711</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8,203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9,107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79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7,417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6,284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0"/>
        </w:trPr>
        <w:tc>
          <w:tcPr>
            <w:tcW w:w="7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(7,210)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(4,639)</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1"/>
        </w:trPr>
        <w:tc>
          <w:tcPr>
            <w:tcW w:w="7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9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46,976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38,622</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360" w:right="140" w:hanging="271"/>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93" w:right="339" w:bottom="23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093" w:right="339" w:bottom="23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NON-GAAP 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6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 directly relate to the sale of the Company’s services or products. The accounting principles generally accepted in the United States (“GAAP”)</w:t>
      </w:r>
    </w:p>
    <w:p>
      <w:pPr>
        <w:spacing w:after="0" w:line="236" w:lineRule="auto"/>
        <w:rPr>
          <w:sz w:val="20"/>
          <w:szCs w:val="20"/>
          <w:color w:val="auto"/>
        </w:rPr>
      </w:pPr>
      <w:r>
        <w:rPr>
          <w:rFonts w:ascii="Arial" w:cs="Arial" w:eastAsia="Arial" w:hAnsi="Arial"/>
          <w:sz w:val="18"/>
          <w:szCs w:val="18"/>
          <w:color w:val="auto"/>
        </w:rPr>
        <w:t>require that the Company include the gains and losses on marketable equity securities and net interest expense related to fair value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Condensed Consolidated Statements of Operations. The Company excludes the gains and losses on marketable equity securities and net interest expense related to fair value adjustments of the</w:t>
      </w:r>
    </w:p>
    <w:p>
      <w:pPr>
        <w:spacing w:after="0" w:line="2"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mandatorily redeemable noncontrolling interest from the non-GAAP adjusted net income because these items are independent of the Company’s core operations and not indicative of the performance of the Company’s business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4"/>
                <w:szCs w:val="14"/>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5"/>
                <w:szCs w:val="15"/>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vMerge w:val="restart"/>
          </w:tcPr>
          <w:p>
            <w:pPr>
              <w:jc w:val="center"/>
              <w:ind w:right="20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62"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7"/>
                <w:szCs w:val="7"/>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restart"/>
          </w:tcPr>
          <w:p>
            <w:pPr>
              <w:jc w:val="center"/>
              <w:ind w:right="184"/>
              <w:spacing w:after="0"/>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168,839</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43,500</w:t>
            </w:r>
          </w:p>
        </w:tc>
        <w:tc>
          <w:tcPr>
            <w:tcW w:w="2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125,339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72,177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19,200</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52,977</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(959)</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211"/>
        </w:trPr>
        <w:tc>
          <w:tcPr>
            <w:tcW w:w="490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124,380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52,272</w:t>
            </w:r>
          </w:p>
        </w:tc>
        <w:tc>
          <w:tcPr>
            <w:tcW w:w="0" w:type="dxa"/>
            <w:vAlign w:val="bottom"/>
          </w:tcPr>
          <w:p>
            <w:pPr>
              <w:spacing w:after="0"/>
              <w:rPr>
                <w:sz w:val="1"/>
                <w:szCs w:val="1"/>
                <w:color w:val="auto"/>
              </w:rPr>
            </w:pPr>
          </w:p>
        </w:tc>
      </w:tr>
      <w:tr>
        <w:trPr>
          <w:trHeight w:val="208"/>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418</w:t>
            </w:r>
          </w:p>
        </w:tc>
        <w:tc>
          <w:tcPr>
            <w:tcW w:w="20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107</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311</w:t>
            </w:r>
          </w:p>
        </w:tc>
        <w:tc>
          <w:tcPr>
            <w:tcW w:w="28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4,129</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1,062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3,067</w:t>
            </w:r>
          </w:p>
        </w:tc>
        <w:tc>
          <w:tcPr>
            <w:tcW w:w="0" w:type="dxa"/>
            <w:vAlign w:val="bottom"/>
          </w:tcPr>
          <w:p>
            <w:pPr>
              <w:spacing w:after="0"/>
              <w:rPr>
                <w:sz w:val="1"/>
                <w:szCs w:val="1"/>
                <w:color w:val="auto"/>
              </w:rPr>
            </w:pPr>
          </w:p>
        </w:tc>
      </w:tr>
      <w:tr>
        <w:trPr>
          <w:trHeight w:val="243"/>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(104,152)</w:t>
            </w:r>
          </w:p>
        </w:tc>
        <w:tc>
          <w:tcPr>
            <w:tcW w:w="200" w:type="dxa"/>
            <w:vAlign w:val="bottom"/>
          </w:tcPr>
          <w:p>
            <w:pPr>
              <w:spacing w:after="0"/>
              <w:rPr>
                <w:sz w:val="21"/>
                <w:szCs w:val="21"/>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(26,668)</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(77,484)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(18,022)</w:t>
            </w:r>
          </w:p>
        </w:tc>
        <w:tc>
          <w:tcPr>
            <w:tcW w:w="240" w:type="dxa"/>
            <w:vAlign w:val="bottom"/>
          </w:tcPr>
          <w:p>
            <w:pPr>
              <w:spacing w:after="0"/>
              <w:rPr>
                <w:sz w:val="21"/>
                <w:szCs w:val="21"/>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(4,744)</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(13,278)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1,486</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380</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1,106</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(1,812)</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(477)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(1,335)</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write-up, sale and impairment of</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406</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104</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302</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(2,615)</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(660)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(1,955)</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1,876</w:t>
            </w:r>
          </w:p>
        </w:tc>
        <w:tc>
          <w:tcPr>
            <w:tcW w:w="200" w:type="dxa"/>
            <w:vAlign w:val="bottom"/>
          </w:tcPr>
          <w:p>
            <w:pPr>
              <w:spacing w:after="0"/>
              <w:rPr>
                <w:sz w:val="15"/>
                <w:szCs w:val="15"/>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95</w:t>
            </w: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1,781</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1,468</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75</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50,396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40,164</w:t>
            </w:r>
          </w:p>
        </w:tc>
        <w:tc>
          <w:tcPr>
            <w:tcW w:w="0" w:type="dxa"/>
            <w:vAlign w:val="bottom"/>
          </w:tcPr>
          <w:p>
            <w:pPr>
              <w:spacing w:after="0"/>
              <w:rPr>
                <w:sz w:val="1"/>
                <w:szCs w:val="1"/>
                <w:color w:val="auto"/>
              </w:rPr>
            </w:pPr>
          </w:p>
        </w:tc>
      </w:tr>
      <w:tr>
        <w:trPr>
          <w:trHeight w:val="312"/>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27.72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190"/>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0.07</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0.64</w:t>
            </w:r>
          </w:p>
        </w:tc>
        <w:tc>
          <w:tcPr>
            <w:tcW w:w="0" w:type="dxa"/>
            <w:vAlign w:val="bottom"/>
          </w:tcPr>
          <w:p>
            <w:pPr>
              <w:spacing w:after="0"/>
              <w:rPr>
                <w:sz w:val="1"/>
                <w:szCs w:val="1"/>
                <w:color w:val="auto"/>
              </w:rPr>
            </w:pPr>
          </w:p>
        </w:tc>
      </w:tr>
      <w:tr>
        <w:trPr>
          <w:trHeight w:val="216"/>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(17.27)</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0.25</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Non-operating loss (gain) from write-up, sale and impairment of</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0.07</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520"/>
              <w:spacing w:after="0"/>
              <w:rPr>
                <w:sz w:val="20"/>
                <w:szCs w:val="20"/>
                <w:color w:val="auto"/>
              </w:rPr>
            </w:pPr>
            <w:r>
              <w:rPr>
                <w:rFonts w:ascii="Arial" w:cs="Arial" w:eastAsia="Arial" w:hAnsi="Arial"/>
                <w:sz w:val="15"/>
                <w:szCs w:val="15"/>
                <w:color w:val="auto"/>
              </w:rPr>
              <w:t>cost method investments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183"/>
        </w:trPr>
        <w:tc>
          <w:tcPr>
            <w:tcW w:w="4900" w:type="dxa"/>
            <w:vAlign w:val="bottom"/>
          </w:tcPr>
          <w:p>
            <w:pPr>
              <w:ind w:left="400"/>
              <w:spacing w:after="0"/>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0.40</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2024-05-01T07:44:28Z</dcterms:created>
  <dcterms:modified xsi:type="dcterms:W3CDTF">2024-05-01T07:44:28Z</dcterms:modified>
</cp:coreProperties>
</file>