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Wallace Cooney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Graham Holdings Co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North 17th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Arlington, VA 22209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Graham Holdings Co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25,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2, 2022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001-06714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Wallace Cooney: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our comment, we may ask you to provide us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November 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page 14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non-GAAP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adjustments to eliminate net losses (gains) on marketable equity securities and net</w:t>
      </w: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expense related to the fair value adjustment of the mandatorily redeemable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noncontrolling interest appear to be changing the basis of accounting applied under U.S. GAAP. Please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considered whether these adjustments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substitute individually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tailored recognition and measurement methods, which could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violate Rule 100(b) of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3179" w:hanging="5896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Regulation G. Refer to Question 100.04 of the Compliance and Disclosure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 on Non-GAAP Financial Measures.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Wallace Cooney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Graham Holdings Co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12,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Nasreen Mohammed at 202-551-3773 or Linda Cvrkel at 202-551-3813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6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LastNameWallace Cooney Comapany NameGraham Holdings 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80" w:space="720"/>
            <w:col w:w="4439"/>
          </w:cols>
          <w:pgMar w:left="320" w:top="244" w:right="1440" w:bottom="0" w:gutter="0" w:footer="0" w:header="0"/>
          <w:type w:val="continuous"/>
        </w:sect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December 12, 2022 Page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p>
      <w:pPr>
        <w:sectPr>
          <w:pgSz w:w="11900" w:h="16838" w:orient="portrait"/>
          <w:cols w:equalWidth="0" w:num="2">
            <w:col w:w="4980" w:space="720"/>
            <w:col w:w="44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2023-02-20T00:21:40Z</dcterms:created>
  <dcterms:modified xsi:type="dcterms:W3CDTF">2023-02-20T00:21:40Z</dcterms:modified>
</cp:coreProperties>
</file>