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1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SCHEDULE 13D</w:t>
      </w:r>
    </w:p>
    <w:p>
      <w:pPr>
        <w:jc w:val="center"/>
        <w:ind w:right="23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ACTV,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00088 E 10 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Diana M. Daniels, Esq.</w:t>
      </w:r>
    </w:p>
    <w:p>
      <w:pPr>
        <w:ind w:left="1580"/>
        <w:spacing w:after="0" w:line="238" w:lineRule="auto"/>
        <w:rPr>
          <w:sz w:val="20"/>
          <w:szCs w:val="20"/>
          <w:color w:val="auto"/>
        </w:rPr>
      </w:pPr>
      <w:r>
        <w:rPr>
          <w:rFonts w:ascii="Courier New" w:cs="Courier New" w:eastAsia="Courier New" w:hAnsi="Courier New"/>
          <w:sz w:val="18"/>
          <w:szCs w:val="18"/>
          <w:color w:val="auto"/>
        </w:rPr>
        <w:t>Vice President, General Counsel and Secretary</w:t>
      </w:r>
    </w:p>
    <w:p>
      <w:pPr>
        <w:ind w:left="2540"/>
        <w:spacing w:after="0"/>
        <w:rPr>
          <w:sz w:val="20"/>
          <w:szCs w:val="20"/>
          <w:color w:val="auto"/>
        </w:rPr>
      </w:pPr>
      <w:r>
        <w:rPr>
          <w:rFonts w:ascii="Courier New" w:cs="Courier New" w:eastAsia="Courier New" w:hAnsi="Courier New"/>
          <w:sz w:val="18"/>
          <w:szCs w:val="18"/>
          <w:color w:val="auto"/>
        </w:rPr>
        <w:t>The Washington Post Company</w:t>
      </w:r>
    </w:p>
    <w:p>
      <w:pPr>
        <w:ind w:left="2860"/>
        <w:spacing w:after="0" w:line="237" w:lineRule="auto"/>
        <w:rPr>
          <w:sz w:val="20"/>
          <w:szCs w:val="20"/>
          <w:color w:val="auto"/>
        </w:rPr>
      </w:pPr>
      <w:r>
        <w:rPr>
          <w:rFonts w:ascii="Courier New" w:cs="Courier New" w:eastAsia="Courier New" w:hAnsi="Courier New"/>
          <w:sz w:val="18"/>
          <w:szCs w:val="18"/>
          <w:color w:val="auto"/>
        </w:rPr>
        <w:t>1150 15th Street, N.W.</w:t>
      </w:r>
    </w:p>
    <w:p>
      <w:pPr>
        <w:ind w:left="2960"/>
        <w:spacing w:after="0" w:line="238" w:lineRule="auto"/>
        <w:rPr>
          <w:sz w:val="20"/>
          <w:szCs w:val="20"/>
          <w:color w:val="auto"/>
        </w:rPr>
      </w:pPr>
      <w:r>
        <w:rPr>
          <w:rFonts w:ascii="Courier New" w:cs="Courier New" w:eastAsia="Courier New" w:hAnsi="Courier New"/>
          <w:sz w:val="18"/>
          <w:szCs w:val="18"/>
          <w:color w:val="auto"/>
        </w:rPr>
        <w:t>Washington, DC 20071</w:t>
      </w:r>
    </w:p>
    <w:p>
      <w:pPr>
        <w:ind w:left="2960"/>
        <w:spacing w:after="0"/>
        <w:rPr>
          <w:sz w:val="20"/>
          <w:szCs w:val="20"/>
          <w:color w:val="auto"/>
        </w:rPr>
      </w:pPr>
      <w:r>
        <w:rPr>
          <w:rFonts w:ascii="Courier New" w:cs="Courier New" w:eastAsia="Courier New" w:hAnsi="Courier New"/>
          <w:sz w:val="18"/>
          <w:szCs w:val="18"/>
          <w:color w:val="auto"/>
        </w:rPr>
        <w:t>Tel. (202) 334-6000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8"/>
          <w:szCs w:val="18"/>
          <w:color w:val="auto"/>
        </w:rPr>
        <w:t>(Name, address and telephone number of person authorized to receive</w:t>
      </w:r>
    </w:p>
    <w:p>
      <w:pPr>
        <w:jc w:val="center"/>
        <w:ind w:right="2319"/>
        <w:spacing w:after="0" w:line="238" w:lineRule="auto"/>
        <w:rPr>
          <w:sz w:val="20"/>
          <w:szCs w:val="20"/>
          <w:color w:val="auto"/>
        </w:rPr>
      </w:pPr>
      <w:r>
        <w:rPr>
          <w:rFonts w:ascii="Courier New" w:cs="Courier New" w:eastAsia="Courier New" w:hAnsi="Courier New"/>
          <w:sz w:val="18"/>
          <w:szCs w:val="18"/>
          <w:color w:val="auto"/>
        </w:rPr>
        <w:t>notices and communications)</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March 25, 1999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0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the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13d- 1(a) for other parties to whom copies are to be sent.</w:t>
      </w: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Page of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2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CUSIP No. 00088 E 10 4</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Schedule13D</w:t>
            </w:r>
          </w:p>
        </w:tc>
        <w:tc>
          <w:tcPr>
            <w:tcW w:w="6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Page 2 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5  Pages</w:t>
            </w:r>
          </w:p>
        </w:tc>
      </w:tr>
      <w:tr>
        <w:trPr>
          <w:trHeight w:val="203"/>
        </w:trPr>
        <w:tc>
          <w:tcPr>
            <w:tcW w:w="25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Amendment No.</w:t>
            </w:r>
          </w:p>
        </w:tc>
        <w:tc>
          <w:tcPr>
            <w:tcW w:w="6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53-0182885</w:t>
      </w:r>
    </w:p>
    <w:p>
      <w:pPr>
        <w:ind w:left="2320"/>
        <w:spacing w:after="0" w:line="238" w:lineRule="auto"/>
        <w:rPr>
          <w:sz w:val="20"/>
          <w:szCs w:val="20"/>
          <w:color w:val="auto"/>
        </w:rPr>
      </w:pPr>
      <w:r>
        <w:rPr>
          <w:rFonts w:ascii="Courier New" w:cs="Courier New" w:eastAsia="Courier New" w:hAnsi="Courier New"/>
          <w:sz w:val="18"/>
          <w:szCs w:val="18"/>
          <w:color w:val="auto"/>
        </w:rPr>
        <w:t>(I.R.S. Employer Indemnification No.)</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840" w:val="left"/>
          <w:tab w:leader="none" w:pos="68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w:t>
      </w:r>
    </w:p>
    <w:p>
      <w:pPr>
        <w:ind w:left="6860"/>
        <w:spacing w:after="0" w:line="238" w:lineRule="auto"/>
        <w:rPr>
          <w:sz w:val="20"/>
          <w:szCs w:val="20"/>
          <w:color w:val="auto"/>
        </w:rPr>
      </w:pPr>
      <w:r>
        <w:rPr>
          <w:rFonts w:ascii="Courier New" w:cs="Courier New" w:eastAsia="Courier New" w:hAnsi="Courier New"/>
          <w:sz w:val="18"/>
          <w:szCs w:val="18"/>
          <w:color w:val="auto"/>
        </w:rPr>
        <w:t>(b)[ ]</w:t>
      </w:r>
    </w:p>
    <w:p>
      <w:pPr>
        <w:spacing w:after="0" w:line="5"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ectPr>
          <w:pgSz w:w="11900" w:h="16838" w:orient="portrait"/>
          <w:cols w:equalWidth="0" w:num="1">
            <w:col w:w="10219"/>
          </w:cols>
          <w:pgMar w:left="240" w:top="649" w:right="1440" w:bottom="0" w:gutter="0" w:footer="0" w:header="0"/>
        </w:sectPr>
      </w:pPr>
    </w:p>
    <w:bookmarkStart w:id="1" w:name="page2"/>
    <w:bookmarkEnd w:id="1"/>
    <w:p>
      <w:pPr>
        <w:ind w:left="2320"/>
        <w:spacing w:after="0"/>
        <w:rPr>
          <w:sz w:val="20"/>
          <w:szCs w:val="20"/>
          <w:color w:val="auto"/>
        </w:rPr>
      </w:pPr>
      <w:r>
        <w:rPr>
          <w:rFonts w:ascii="Courier New" w:cs="Courier New" w:eastAsia="Courier New" w:hAnsi="Courier New"/>
          <w:sz w:val="18"/>
          <w:szCs w:val="18"/>
          <w:color w:val="auto"/>
        </w:rPr>
        <w:t>WC</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860"/>
        <w:spacing w:after="0"/>
        <w:rPr>
          <w:sz w:val="20"/>
          <w:szCs w:val="20"/>
          <w:color w:val="auto"/>
        </w:rPr>
      </w:pPr>
      <w:r>
        <w:rPr>
          <w:rFonts w:ascii="Courier New" w:cs="Courier New" w:eastAsia="Courier New" w:hAnsi="Courier New"/>
          <w:sz w:val="18"/>
          <w:szCs w:val="18"/>
          <w:color w:val="auto"/>
        </w:rPr>
        <w:t>PURSUANT TO ITEMS 2</w:t>
      </w:r>
    </w:p>
    <w:p>
      <w:pPr>
        <w:ind w:left="860"/>
        <w:spacing w:after="0"/>
        <w:tabs>
          <w:tab w:leader="none" w:pos="7260" w:val="left"/>
        </w:tabs>
        <w:rPr>
          <w:sz w:val="20"/>
          <w:szCs w:val="20"/>
          <w:color w:val="auto"/>
        </w:rPr>
      </w:pPr>
      <w:r>
        <w:rPr>
          <w:rFonts w:ascii="Courier New" w:cs="Courier New" w:eastAsia="Courier New" w:hAnsi="Courier New"/>
          <w:sz w:val="18"/>
          <w:szCs w:val="18"/>
          <w:color w:val="auto"/>
        </w:rPr>
        <w:t>(d) or 2(e)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ind w:left="2320"/>
        <w:spacing w:after="0"/>
        <w:rPr>
          <w:sz w:val="20"/>
          <w:szCs w:val="20"/>
          <w:color w:val="auto"/>
        </w:rPr>
      </w:pPr>
      <w:r>
        <w:rPr>
          <w:rFonts w:ascii="Courier New" w:cs="Courier New" w:eastAsia="Courier New" w:hAnsi="Courier New"/>
          <w:sz w:val="18"/>
          <w:szCs w:val="18"/>
          <w:color w:val="auto"/>
        </w:rPr>
        <w:t>State of Delaware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162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NUMBER OF</w:t>
            </w: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c>
          <w:tcPr>
            <w:tcW w:w="342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6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700" w:type="dxa"/>
            <w:vAlign w:val="bottom"/>
          </w:tcPr>
          <w:p>
            <w:pPr>
              <w:spacing w:after="0"/>
              <w:rPr>
                <w:sz w:val="17"/>
                <w:szCs w:val="17"/>
                <w:color w:val="auto"/>
              </w:rPr>
            </w:pPr>
          </w:p>
        </w:tc>
        <w:tc>
          <w:tcPr>
            <w:tcW w:w="3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8"/>
              </w:rPr>
              <w:t>895,000 (see text of Items</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5)</w:t>
            </w:r>
          </w:p>
        </w:tc>
      </w:tr>
      <w:tr>
        <w:trPr>
          <w:trHeight w:val="203"/>
        </w:trPr>
        <w:tc>
          <w:tcPr>
            <w:tcW w:w="16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62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w:t>
            </w:r>
          </w:p>
        </w:tc>
        <w:tc>
          <w:tcPr>
            <w:tcW w:w="3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6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EACH</w:t>
            </w:r>
          </w:p>
        </w:tc>
        <w:tc>
          <w:tcPr>
            <w:tcW w:w="700" w:type="dxa"/>
            <w:vAlign w:val="bottom"/>
          </w:tcPr>
          <w:p>
            <w:pPr>
              <w:spacing w:after="0"/>
              <w:rPr>
                <w:sz w:val="17"/>
                <w:szCs w:val="17"/>
                <w:color w:val="auto"/>
              </w:rPr>
            </w:pPr>
          </w:p>
        </w:tc>
        <w:tc>
          <w:tcPr>
            <w:tcW w:w="3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8"/>
              </w:rPr>
              <w:t>741,334 (see text of Items</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and 5)</w:t>
            </w: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7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6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w:t>
            </w:r>
          </w:p>
        </w:tc>
        <w:tc>
          <w:tcPr>
            <w:tcW w:w="3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1,636,334 (see text of Items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4 and 5)</w:t>
            </w:r>
          </w:p>
        </w:tc>
      </w:tr>
      <w:tr>
        <w:trPr>
          <w:trHeight w:val="405"/>
        </w:trPr>
        <w:tc>
          <w:tcPr>
            <w:tcW w:w="1620" w:type="dxa"/>
            <w:vAlign w:val="bottom"/>
          </w:tcPr>
          <w:p>
            <w:pPr>
              <w:spacing w:after="0"/>
              <w:rPr>
                <w:sz w:val="24"/>
                <w:szCs w:val="24"/>
                <w:color w:val="auto"/>
              </w:rPr>
            </w:pPr>
          </w:p>
        </w:tc>
        <w:tc>
          <w:tcPr>
            <w:tcW w:w="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w:t>
            </w:r>
          </w:p>
        </w:tc>
        <w:tc>
          <w:tcPr>
            <w:tcW w:w="342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2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w w:val="98"/>
              </w:rPr>
              <w:t>0 (see text of Items 4 and</w:t>
            </w:r>
          </w:p>
        </w:tc>
        <w:tc>
          <w:tcPr>
            <w:tcW w:w="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5)</w:t>
            </w:r>
          </w:p>
        </w:tc>
        <w:tc>
          <w:tcPr>
            <w:tcW w:w="840" w:type="dxa"/>
            <w:vAlign w:val="bottom"/>
          </w:tcPr>
          <w:p>
            <w:pPr>
              <w:spacing w:after="0"/>
              <w:rPr>
                <w:sz w:val="17"/>
                <w:szCs w:val="17"/>
                <w:color w:val="auto"/>
              </w:rPr>
            </w:pP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2320"/>
        <w:spacing w:after="0"/>
        <w:rPr>
          <w:sz w:val="20"/>
          <w:szCs w:val="20"/>
          <w:color w:val="auto"/>
        </w:rPr>
      </w:pPr>
      <w:r>
        <w:rPr>
          <w:rFonts w:ascii="Courier New" w:cs="Courier New" w:eastAsia="Courier New" w:hAnsi="Courier New"/>
          <w:sz w:val="18"/>
          <w:szCs w:val="18"/>
          <w:color w:val="auto"/>
        </w:rPr>
        <w:t>1,636,334 (see text of Items 4 and 5)</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w:t>
      </w:r>
    </w:p>
    <w:p>
      <w:pPr>
        <w:ind w:left="860"/>
        <w:spacing w:after="0"/>
        <w:tabs>
          <w:tab w:leader="none" w:pos="442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6"/>
          <w:szCs w:val="16"/>
          <w:color w:val="auto"/>
        </w:rPr>
        <w:t>[ ] (See text of Items 4 and 5)</w:t>
      </w:r>
    </w:p>
    <w:p>
      <w:pPr>
        <w:spacing w:after="0" w:line="3"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w:t>
      </w:r>
    </w:p>
    <w:p>
      <w:pPr>
        <w:ind w:left="860"/>
        <w:spacing w:after="0"/>
        <w:rPr>
          <w:sz w:val="20"/>
          <w:szCs w:val="20"/>
          <w:color w:val="auto"/>
        </w:rPr>
      </w:pPr>
      <w:r>
        <w:rPr>
          <w:rFonts w:ascii="Courier New" w:cs="Courier New" w:eastAsia="Courier New" w:hAnsi="Courier New"/>
          <w:sz w:val="18"/>
          <w:szCs w:val="18"/>
          <w:color w:val="auto"/>
        </w:rPr>
        <w:t>BY AMOUNT IN ROW (11)</w:t>
      </w:r>
    </w:p>
    <w:p>
      <w:pPr>
        <w:ind w:left="2320"/>
        <w:spacing w:after="0" w:line="237" w:lineRule="auto"/>
        <w:rPr>
          <w:sz w:val="20"/>
          <w:szCs w:val="20"/>
          <w:color w:val="auto"/>
        </w:rPr>
      </w:pPr>
      <w:r>
        <w:rPr>
          <w:rFonts w:ascii="Courier New" w:cs="Courier New" w:eastAsia="Courier New" w:hAnsi="Courier New"/>
          <w:sz w:val="18"/>
          <w:szCs w:val="18"/>
          <w:color w:val="auto"/>
        </w:rPr>
        <w:t>4.926% (see text of Item 5)</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left="29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Page of 2 Of 5 Pages</w:t>
      </w:r>
    </w:p>
    <w:p>
      <w:pPr>
        <w:sectPr>
          <w:pgSz w:w="11900" w:h="16838" w:orient="portrait"/>
          <w:cols w:equalWidth="0" w:num="1">
            <w:col w:w="10219"/>
          </w:cols>
          <w:pgMar w:left="240" w:top="136" w:right="1440" w:bottom="1440" w:gutter="0" w:footer="0" w:header="0"/>
        </w:sectPr>
      </w:pPr>
    </w:p>
    <w:bookmarkStart w:id="2" w:name="page3"/>
    <w:bookmarkEnd w:id="2"/>
    <w:p>
      <w:pPr>
        <w:ind w:right="2419" w:firstLine="1053"/>
        <w:spacing w:after="0" w:line="270" w:lineRule="auto"/>
        <w:rPr>
          <w:sz w:val="20"/>
          <w:szCs w:val="20"/>
          <w:color w:val="auto"/>
        </w:rPr>
      </w:pPr>
      <w:r>
        <w:rPr>
          <w:rFonts w:ascii="Courier New" w:cs="Courier New" w:eastAsia="Courier New" w:hAnsi="Courier New"/>
          <w:sz w:val="16"/>
          <w:szCs w:val="16"/>
          <w:color w:val="auto"/>
        </w:rPr>
        <w:t>The Washington Post Company, a Delaware corporation ("TWP"), hereby amends and supplements in its Statement on Schedule 13D (the "Original 13D") relating to the common stock, par value $0.10 per share (the "Common Stock"), of ACTV, Inc., a Delaware corporation (the "Issuer") with its principal executive offices at 1270 Avenue of the Americas, New York, NY 10020, as such Original 13D was filed with the Securities and Exchange Commission (the "Commission") by TWP on March 26, 1992 and subsequently amended. The Original 13D, as amended by amendment no. 1, amendment no. 2, amendment no. 3 and amendment no. 4 is hereinafter referred to as "Schedule 13D". All capitalized terms not otherwise defined herein shall have the meanings ascribed to them in Schedule 13D.</w:t>
      </w:r>
    </w:p>
    <w:p>
      <w:pPr>
        <w:spacing w:after="0" w:line="38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The text of Item 4 is followed by the following:</w:t>
      </w:r>
    </w:p>
    <w:p>
      <w:pPr>
        <w:spacing w:after="0" w:line="207" w:lineRule="exact"/>
        <w:rPr>
          <w:sz w:val="20"/>
          <w:szCs w:val="20"/>
          <w:color w:val="auto"/>
        </w:rPr>
      </w:pPr>
    </w:p>
    <w:p>
      <w:pPr>
        <w:ind w:right="2419" w:firstLine="1053"/>
        <w:spacing w:after="0" w:line="272" w:lineRule="auto"/>
        <w:rPr>
          <w:sz w:val="20"/>
          <w:szCs w:val="20"/>
          <w:color w:val="auto"/>
        </w:rPr>
      </w:pPr>
      <w:r>
        <w:rPr>
          <w:rFonts w:ascii="Courier New" w:cs="Courier New" w:eastAsia="Courier New" w:hAnsi="Courier New"/>
          <w:sz w:val="16"/>
          <w:szCs w:val="16"/>
          <w:color w:val="auto"/>
        </w:rPr>
        <w:t>On March 4, 1999, TWP withdrew 1,600,000 shares of Common Stock from the Voting Trust described above. Between March 9, 1999 and March 26, 1999, TWP sold 705,000 shares of Common Stock at prices between $7.07374 and $7.6225 per share for a total of $5,211,545.57 (equal to $7.39226 per share) on NASDAQ through Salomon Smith Barney. From time to time, TWP may withdraw additional shares from the Voting Trust and sell such shares.</w:t>
      </w:r>
    </w:p>
    <w:p>
      <w:pPr>
        <w:spacing w:after="0" w:line="18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1060" w:right="2419"/>
        <w:spacing w:after="0" w:line="235" w:lineRule="auto"/>
        <w:rPr>
          <w:sz w:val="20"/>
          <w:szCs w:val="20"/>
          <w:color w:val="auto"/>
        </w:rPr>
      </w:pPr>
      <w:r>
        <w:rPr>
          <w:rFonts w:ascii="Courier New" w:cs="Courier New" w:eastAsia="Courier New" w:hAnsi="Courier New"/>
          <w:sz w:val="18"/>
          <w:szCs w:val="18"/>
          <w:color w:val="auto"/>
        </w:rPr>
        <w:t>Item 5 of the Schedule 13D is hereby deleted in its entirety and substituted by the following:</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On March 4, 1999, TWP withdrew 1,600,000 shares of 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Voting Trust described in Item 4 above. Between March 9, 1999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March 26, 1999, TWP sold 705,000 shares of Common Stock at prices between</w:t>
      </w:r>
    </w:p>
    <w:p>
      <w:pPr>
        <w:spacing w:after="0" w:line="238" w:lineRule="auto"/>
        <w:rPr>
          <w:sz w:val="20"/>
          <w:szCs w:val="20"/>
          <w:color w:val="auto"/>
        </w:rPr>
      </w:pPr>
      <w:r>
        <w:rPr>
          <w:rFonts w:ascii="Courier New" w:cs="Courier New" w:eastAsia="Courier New" w:hAnsi="Courier New"/>
          <w:sz w:val="18"/>
          <w:szCs w:val="18"/>
          <w:color w:val="auto"/>
        </w:rPr>
        <w:t>$7.07374 and $7.6225 per share for a total of $5,211,545,57 (equal to</w:t>
      </w:r>
    </w:p>
    <w:p>
      <w:pPr>
        <w:spacing w:after="0"/>
        <w:rPr>
          <w:sz w:val="20"/>
          <w:szCs w:val="20"/>
          <w:color w:val="auto"/>
        </w:rPr>
      </w:pPr>
      <w:r>
        <w:rPr>
          <w:rFonts w:ascii="Courier New" w:cs="Courier New" w:eastAsia="Courier New" w:hAnsi="Courier New"/>
          <w:sz w:val="18"/>
          <w:szCs w:val="18"/>
          <w:color w:val="auto"/>
        </w:rPr>
        <w:t>$7.39226 per share) on NASDAQ through Salomon Smith Barney. TWP is deemed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beneficially own, in the aggregate, shares of Common Stock, or 4.926%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outstanding Common Stock. Such percentage of shares is calculated on</w:t>
      </w:r>
    </w:p>
    <w:p>
      <w:pPr>
        <w:spacing w:after="0" w:line="238" w:lineRule="auto"/>
        <w:rPr>
          <w:sz w:val="20"/>
          <w:szCs w:val="20"/>
          <w:color w:val="auto"/>
        </w:rPr>
      </w:pPr>
      <w:r>
        <w:rPr>
          <w:rFonts w:ascii="Courier New" w:cs="Courier New" w:eastAsia="Courier New" w:hAnsi="Courier New"/>
          <w:sz w:val="18"/>
          <w:szCs w:val="18"/>
          <w:color w:val="auto"/>
        </w:rPr>
        <w:t>the basis that the 33,217,184 shares of Common Stock which the Issuer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disclosed were issued and outstanding on March 19, 1999, and continue to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only shares of Common Stock outstanding.</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of 3 Of 5 Pages</w:t>
      </w:r>
    </w:p>
    <w:p>
      <w:pPr>
        <w:sectPr>
          <w:pgSz w:w="11900" w:h="16838" w:orient="portrait"/>
          <w:cols w:equalWidth="0" w:num="1">
            <w:col w:w="10219"/>
          </w:cols>
          <w:pgMar w:left="240" w:top="925" w:right="1440" w:bottom="1440" w:gutter="0" w:footer="0" w:header="0"/>
        </w:sectPr>
      </w:pPr>
    </w:p>
    <w:bookmarkStart w:id="3" w:name="page4"/>
    <w:bookmarkEnd w:id="3"/>
    <w:p>
      <w:pPr>
        <w:ind w:right="2319" w:firstLine="1053"/>
        <w:spacing w:after="0" w:line="236" w:lineRule="auto"/>
        <w:rPr>
          <w:sz w:val="20"/>
          <w:szCs w:val="20"/>
          <w:color w:val="auto"/>
        </w:rPr>
      </w:pPr>
      <w:r>
        <w:rPr>
          <w:rFonts w:ascii="Courier New" w:cs="Courier New" w:eastAsia="Courier New" w:hAnsi="Courier New"/>
          <w:sz w:val="18"/>
          <w:szCs w:val="18"/>
          <w:color w:val="auto"/>
        </w:rPr>
        <w:t>Pursuant to the Voting Trust Agreement, William C. Samuels serves as the Voting Trustee for TWP's Deposited Shares as described in Item 4 above. Certain information about Mr. Samuels is set forth below:</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William C. Samuels</w:t>
      </w:r>
    </w:p>
    <w:p>
      <w:pPr>
        <w:ind w:left="1900"/>
        <w:spacing w:after="0" w:line="238" w:lineRule="auto"/>
        <w:rPr>
          <w:sz w:val="20"/>
          <w:szCs w:val="20"/>
          <w:color w:val="auto"/>
        </w:rPr>
      </w:pPr>
      <w:r>
        <w:rPr>
          <w:rFonts w:ascii="Courier New" w:cs="Courier New" w:eastAsia="Courier New" w:hAnsi="Courier New"/>
          <w:sz w:val="18"/>
          <w:szCs w:val="18"/>
          <w:color w:val="auto"/>
        </w:rPr>
        <w:t>ACTV, Inc.</w:t>
      </w:r>
    </w:p>
    <w:p>
      <w:pPr>
        <w:ind w:left="1900"/>
        <w:spacing w:after="0"/>
        <w:rPr>
          <w:sz w:val="20"/>
          <w:szCs w:val="20"/>
          <w:color w:val="auto"/>
        </w:rPr>
      </w:pPr>
      <w:r>
        <w:rPr>
          <w:rFonts w:ascii="Courier New" w:cs="Courier New" w:eastAsia="Courier New" w:hAnsi="Courier New"/>
          <w:sz w:val="18"/>
          <w:szCs w:val="18"/>
          <w:color w:val="auto"/>
        </w:rPr>
        <w:t>1270 Avenue of the Americas</w:t>
      </w:r>
    </w:p>
    <w:p>
      <w:pPr>
        <w:ind w:left="1900"/>
        <w:spacing w:after="0" w:line="237" w:lineRule="auto"/>
        <w:rPr>
          <w:sz w:val="20"/>
          <w:szCs w:val="20"/>
          <w:color w:val="auto"/>
        </w:rPr>
      </w:pPr>
      <w:r>
        <w:rPr>
          <w:rFonts w:ascii="Courier New" w:cs="Courier New" w:eastAsia="Courier New" w:hAnsi="Courier New"/>
          <w:sz w:val="18"/>
          <w:szCs w:val="18"/>
          <w:color w:val="auto"/>
        </w:rPr>
        <w:t>New York, NY 10020</w:t>
      </w:r>
    </w:p>
    <w:p>
      <w:pPr>
        <w:ind w:left="1900"/>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8"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To the best knowledge of TWP, during the last five years, Mr. Samuels has not been convicted in a criminal proceeding (excluding traffic violations or similar misdemeanors), nor has he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12" w:lineRule="exact"/>
        <w:rPr>
          <w:sz w:val="20"/>
          <w:szCs w:val="20"/>
          <w:color w:val="auto"/>
        </w:rPr>
      </w:pPr>
    </w:p>
    <w:p>
      <w:pPr>
        <w:jc w:val="both"/>
        <w:ind w:right="2419" w:firstLine="1053"/>
        <w:spacing w:after="0" w:line="236" w:lineRule="auto"/>
        <w:rPr>
          <w:sz w:val="20"/>
          <w:szCs w:val="20"/>
          <w:color w:val="auto"/>
        </w:rPr>
      </w:pPr>
      <w:r>
        <w:rPr>
          <w:rFonts w:ascii="Courier New" w:cs="Courier New" w:eastAsia="Courier New" w:hAnsi="Courier New"/>
          <w:sz w:val="18"/>
          <w:szCs w:val="18"/>
          <w:color w:val="auto"/>
        </w:rPr>
        <w:t>Pursuant to the termination of the Issuer Option Agreement, TWP and the Issuer no longer share beneficial ownership of 1,000,000 shares of Common Stock.</w:t>
      </w:r>
    </w:p>
    <w:p>
      <w:pPr>
        <w:spacing w:after="0" w:line="209" w:lineRule="exact"/>
        <w:rPr>
          <w:sz w:val="20"/>
          <w:szCs w:val="20"/>
          <w:color w:val="auto"/>
        </w:rPr>
      </w:pPr>
    </w:p>
    <w:p>
      <w:pPr>
        <w:ind w:right="3259" w:firstLine="1053"/>
        <w:spacing w:after="0" w:line="279" w:lineRule="auto"/>
        <w:rPr>
          <w:sz w:val="20"/>
          <w:szCs w:val="20"/>
          <w:color w:val="auto"/>
        </w:rPr>
      </w:pPr>
      <w:r>
        <w:rPr>
          <w:rFonts w:ascii="Courier New" w:cs="Courier New" w:eastAsia="Courier New" w:hAnsi="Courier New"/>
          <w:sz w:val="16"/>
          <w:szCs w:val="16"/>
          <w:color w:val="auto"/>
        </w:rPr>
        <w:t>Except as set forth above, neither TWP, nor, to the best knowledge of TWP, any person listed on Annex A, has effected any transactions in Common Stock during the past 60 days.</w:t>
      </w:r>
    </w:p>
    <w:p>
      <w:pPr>
        <w:spacing w:after="0" w:line="178"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From time to time, TWP may withdraw additional shares from the Voting Trust described above and sell such shares.</w:t>
      </w:r>
    </w:p>
    <w:p>
      <w:pPr>
        <w:spacing w:after="0" w:line="200" w:lineRule="exact"/>
        <w:rPr>
          <w:sz w:val="20"/>
          <w:szCs w:val="20"/>
          <w:color w:val="auto"/>
        </w:rPr>
      </w:pP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of 4 Of 5 Pages</w:t>
      </w:r>
    </w:p>
    <w:p>
      <w:pPr>
        <w:sectPr>
          <w:pgSz w:w="11900" w:h="16838" w:orient="portrait"/>
          <w:cols w:equalWidth="0" w:num="1">
            <w:col w:w="10219"/>
          </w:cols>
          <w:pgMar w:left="240" w:top="925"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firstLine="105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March 26, 1999</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THE WASHINGTON POST COMPANY,</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John B. Morse, Jr.</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4640"/>
        <w:spacing w:after="0"/>
        <w:tabs>
          <w:tab w:leader="none" w:pos="546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John B. Morse, Jr.</w:t>
      </w:r>
    </w:p>
    <w:p>
      <w:pPr>
        <w:ind w:left="4640"/>
        <w:spacing w:after="0" w:line="237" w:lineRule="auto"/>
        <w:tabs>
          <w:tab w:leader="none" w:pos="5460" w:val="left"/>
        </w:tabs>
        <w:rPr>
          <w:sz w:val="20"/>
          <w:szCs w:val="20"/>
          <w:color w:val="auto"/>
        </w:rPr>
      </w:pPr>
      <w:r>
        <w:rPr>
          <w:rFonts w:ascii="Courier New" w:cs="Courier New" w:eastAsia="Courier New" w:hAnsi="Courier New"/>
          <w:sz w:val="18"/>
          <w:szCs w:val="18"/>
          <w:color w:val="auto"/>
        </w:rPr>
        <w:t>Title:</w:t>
        <w:tab/>
        <w:t>Vice President-Finance</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Page of 5 Of 5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upp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2020-02-22T10:53:33Z</dcterms:created>
  <dcterms:modified xsi:type="dcterms:W3CDTF">2020-02-22T10:53:33Z</dcterms:modified>
</cp:coreProperties>
</file>