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September 23, 2024</w:t>
      </w: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VIA EDGAR</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Division of Corporation Finance</w:t>
      </w:r>
    </w:p>
    <w:p>
      <w:pPr>
        <w:spacing w:after="0" w:line="230" w:lineRule="auto"/>
        <w:rPr>
          <w:sz w:val="20"/>
          <w:szCs w:val="20"/>
          <w:color w:val="auto"/>
        </w:rPr>
      </w:pPr>
      <w:r>
        <w:rPr>
          <w:rFonts w:ascii="Times New Roman" w:cs="Times New Roman" w:eastAsia="Times New Roman" w:hAnsi="Times New Roman"/>
          <w:sz w:val="22"/>
          <w:szCs w:val="22"/>
          <w:color w:val="auto"/>
        </w:rPr>
        <w:t>Office of Finance</w:t>
      </w:r>
    </w:p>
    <w:p>
      <w:pPr>
        <w:spacing w:after="0" w:line="218" w:lineRule="auto"/>
        <w:rPr>
          <w:sz w:val="20"/>
          <w:szCs w:val="20"/>
          <w:color w:val="auto"/>
        </w:rPr>
      </w:pPr>
      <w:r>
        <w:rPr>
          <w:rFonts w:ascii="Times New Roman" w:cs="Times New Roman" w:eastAsia="Times New Roman" w:hAnsi="Times New Roman"/>
          <w:sz w:val="22"/>
          <w:szCs w:val="22"/>
          <w:color w:val="auto"/>
        </w:rPr>
        <w:t>100 F Street, N.E.</w:t>
      </w: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0" w:lineRule="exact"/>
        <w:rPr>
          <w:sz w:val="24"/>
          <w:szCs w:val="24"/>
          <w:color w:val="auto"/>
        </w:rPr>
      </w:pPr>
    </w:p>
    <w:p>
      <w:pPr>
        <w:spacing w:after="0" w:line="252" w:lineRule="exact"/>
        <w:rPr>
          <w:sz w:val="24"/>
          <w:szCs w:val="24"/>
          <w:color w:val="auto"/>
        </w:rPr>
      </w:pPr>
    </w:p>
    <w:p>
      <w:pPr>
        <w:spacing w:after="0"/>
        <w:tabs>
          <w:tab w:leader="none" w:pos="1080" w:val="left"/>
        </w:tabs>
        <w:rPr>
          <w:sz w:val="20"/>
          <w:szCs w:val="20"/>
          <w:color w:val="auto"/>
        </w:rPr>
      </w:pPr>
      <w:r>
        <w:rPr>
          <w:rFonts w:ascii="Times New Roman" w:cs="Times New Roman" w:eastAsia="Times New Roman" w:hAnsi="Times New Roman"/>
          <w:sz w:val="22"/>
          <w:szCs w:val="22"/>
          <w:color w:val="auto"/>
        </w:rPr>
        <w:t>Attention:</w:t>
        <w:tab/>
        <w:t>Robert Arzonetti</w:t>
      </w:r>
    </w:p>
    <w:p>
      <w:pPr>
        <w:spacing w:after="0" w:line="14"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22"/>
          <w:szCs w:val="22"/>
          <w:color w:val="auto"/>
        </w:rPr>
        <w:t>Sebastian Gomez Abero</w:t>
      </w:r>
    </w:p>
    <w:p>
      <w:pPr>
        <w:spacing w:after="0" w:line="200" w:lineRule="exact"/>
        <w:rPr>
          <w:sz w:val="24"/>
          <w:szCs w:val="24"/>
          <w:color w:val="auto"/>
        </w:rPr>
      </w:pPr>
    </w:p>
    <w:p>
      <w:pPr>
        <w:spacing w:after="0" w:line="24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RE: Graham Holdings Company</w:t>
      </w:r>
    </w:p>
    <w:p>
      <w:pPr>
        <w:spacing w:after="0" w:line="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Form 10-K for the Fiscal Year Ended December 31, 2023</w:t>
      </w:r>
    </w:p>
    <w:p>
      <w:pPr>
        <w:ind w:left="660"/>
        <w:spacing w:after="0"/>
        <w:rPr>
          <w:sz w:val="20"/>
          <w:szCs w:val="20"/>
          <w:color w:val="auto"/>
        </w:rPr>
      </w:pPr>
      <w:r>
        <w:rPr>
          <w:rFonts w:ascii="Times New Roman" w:cs="Times New Roman" w:eastAsia="Times New Roman" w:hAnsi="Times New Roman"/>
          <w:sz w:val="22"/>
          <w:szCs w:val="22"/>
          <w:b w:val="1"/>
          <w:bCs w:val="1"/>
          <w:color w:val="auto"/>
        </w:rPr>
        <w:t>File No. 001-06714</w:t>
      </w: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Dear Mr. Arzonetti and Mr. Abero:</w:t>
      </w:r>
    </w:p>
    <w:p>
      <w:pPr>
        <w:spacing w:after="0" w:line="233" w:lineRule="exact"/>
        <w:rPr>
          <w:sz w:val="24"/>
          <w:szCs w:val="24"/>
          <w:color w:val="auto"/>
        </w:rPr>
      </w:pPr>
    </w:p>
    <w:p>
      <w:pPr>
        <w:ind w:right="120" w:firstLine="648"/>
        <w:spacing w:after="0" w:line="239" w:lineRule="auto"/>
        <w:rPr>
          <w:sz w:val="20"/>
          <w:szCs w:val="20"/>
          <w:color w:val="auto"/>
        </w:rPr>
      </w:pPr>
      <w:r>
        <w:rPr>
          <w:rFonts w:ascii="Times New Roman" w:cs="Times New Roman" w:eastAsia="Times New Roman" w:hAnsi="Times New Roman"/>
          <w:sz w:val="22"/>
          <w:szCs w:val="22"/>
          <w:color w:val="auto"/>
        </w:rPr>
        <w:t>This letter responds to the comment from the staff (the “</w:t>
      </w:r>
      <w:r>
        <w:rPr>
          <w:rFonts w:ascii="Times New Roman" w:cs="Times New Roman" w:eastAsia="Times New Roman" w:hAnsi="Times New Roman"/>
          <w:sz w:val="22"/>
          <w:szCs w:val="22"/>
          <w:u w:val="single" w:color="auto"/>
          <w:color w:val="auto"/>
        </w:rPr>
        <w:t>Staff</w:t>
      </w:r>
      <w:r>
        <w:rPr>
          <w:rFonts w:ascii="Times New Roman" w:cs="Times New Roman" w:eastAsia="Times New Roman" w:hAnsi="Times New Roman"/>
          <w:sz w:val="22"/>
          <w:szCs w:val="22"/>
          <w:color w:val="auto"/>
        </w:rPr>
        <w:t>”) of the Division of Corporation Finance of the Securities and Exchange Commission (the “</w:t>
      </w: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contained in the letter dated September 19, 2024, (the “</w:t>
      </w:r>
      <w:r>
        <w:rPr>
          <w:rFonts w:ascii="Times New Roman" w:cs="Times New Roman" w:eastAsia="Times New Roman" w:hAnsi="Times New Roman"/>
          <w:sz w:val="22"/>
          <w:szCs w:val="22"/>
          <w:u w:val="single" w:color="auto"/>
          <w:color w:val="auto"/>
        </w:rPr>
        <w:t>Comment Letter</w:t>
      </w:r>
      <w:r>
        <w:rPr>
          <w:rFonts w:ascii="Times New Roman" w:cs="Times New Roman" w:eastAsia="Times New Roman" w:hAnsi="Times New Roman"/>
          <w:sz w:val="22"/>
          <w:szCs w:val="22"/>
          <w:color w:val="auto"/>
        </w:rPr>
        <w:t>”) relating to the Annual Report on Form 10-K for the Fiscal Year Ended December 31, 2023, of Graham Holdings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w:t>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Form 10-K for the Year Ended December 31, 2023</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Item 11. Executive Compensation, page 46</w:t>
      </w:r>
    </w:p>
    <w:p>
      <w:pPr>
        <w:spacing w:after="0" w:line="233" w:lineRule="exact"/>
        <w:rPr>
          <w:sz w:val="24"/>
          <w:szCs w:val="24"/>
          <w:color w:val="auto"/>
        </w:rPr>
      </w:pPr>
    </w:p>
    <w:p>
      <w:pPr>
        <w:ind w:left="660" w:right="60" w:hanging="328"/>
        <w:spacing w:after="0" w:line="241" w:lineRule="auto"/>
        <w:tabs>
          <w:tab w:leader="none" w:pos="6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From the disclosure incorporated by reference from page 18 of the Definitive Proxy Statement filed on March 26, 2024, it appears that you have not provided your disclosure about your recovery analysis in an Interactive Data File in accordance with Rule 405 of Regulation S-T and the EDGAR Filer Manual. In future filings where you conduct a recovery analysis, please also include the interactive data.</w:t>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Company Response:</w:t>
      </w:r>
    </w:p>
    <w:p>
      <w:pPr>
        <w:spacing w:after="0" w:line="237" w:lineRule="exact"/>
        <w:rPr>
          <w:sz w:val="24"/>
          <w:szCs w:val="24"/>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The Company respectfully acknowledges the Staff’s comment. The interactive data for the recovery analysis was inadvertently excluded. The Company agrees and has noted for future filings that the interactive data for a recovery analysis will be included in accordance with Rule 405 of Regulation S-T.</w:t>
      </w:r>
    </w:p>
    <w:p>
      <w:pPr>
        <w:spacing w:after="0" w:line="18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 * *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120"/>
          </w:cols>
          <w:pgMar w:left="320" w:top="990"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Please call me at (703) 345-6470 with any questions or comments you may have regarding this correspondence.</w:t>
      </w:r>
    </w:p>
    <w:p>
      <w:pPr>
        <w:spacing w:after="0" w:line="200" w:lineRule="exact"/>
        <w:rPr>
          <w:sz w:val="20"/>
          <w:szCs w:val="20"/>
          <w:color w:val="auto"/>
        </w:rPr>
      </w:pPr>
    </w:p>
    <w:p>
      <w:pPr>
        <w:spacing w:after="0" w:line="32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47"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22"/>
          <w:szCs w:val="22"/>
          <w:color w:val="auto"/>
        </w:rPr>
        <w:t>/s/ Wallace R. Cooney</w:t>
      </w:r>
    </w:p>
    <w:p>
      <w:pPr>
        <w:spacing w:after="0" w:line="18"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22"/>
          <w:szCs w:val="22"/>
          <w:color w:val="auto"/>
        </w:rPr>
        <w:t>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-151765</wp:posOffset>
            </wp:positionV>
            <wp:extent cx="2562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jc w:val="center"/>
        <w:ind w:left="7180"/>
        <w:spacing w:after="0" w:line="204" w:lineRule="auto"/>
        <w:rPr>
          <w:sz w:val="20"/>
          <w:szCs w:val="20"/>
          <w:color w:val="auto"/>
        </w:rPr>
      </w:pPr>
      <w:r>
        <w:rPr>
          <w:rFonts w:ascii="Times New Roman" w:cs="Times New Roman" w:eastAsia="Times New Roman" w:hAnsi="Times New Roman"/>
          <w:sz w:val="22"/>
          <w:szCs w:val="22"/>
          <w:color w:val="auto"/>
        </w:rPr>
        <w:t>Chief Financial Officer</w:t>
      </w:r>
    </w:p>
    <w:p>
      <w:pPr>
        <w:spacing w:after="0" w:line="1"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21"/>
          <w:szCs w:val="21"/>
          <w:color w:val="auto"/>
        </w:rPr>
        <w:t>Graham Holdings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2</w:t>
      </w:r>
    </w:p>
    <w:sectPr>
      <w:pgSz w:w="11900" w:h="16838" w:orient="portrait"/>
      <w:cols w:equalWidth="0" w:num="1">
        <w:col w:w="9780"/>
      </w:cols>
      <w:pgMar w:left="980" w:top="882"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2024-12-09T23:11:10Z</dcterms:created>
  <dcterms:modified xsi:type="dcterms:W3CDTF">2024-12-09T23:11:10Z</dcterms:modified>
</cp:coreProperties>
</file>