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333-155374</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CALCULATION OF REGISTRATION FEE</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1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2"/>
        </w:trPr>
        <w:tc>
          <w:tcPr>
            <w:tcW w:w="414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jc w:val="center"/>
              <w:ind w:left="30"/>
              <w:spacing w:after="0" w:line="113" w:lineRule="exact"/>
              <w:rPr>
                <w:sz w:val="20"/>
                <w:szCs w:val="20"/>
                <w:color w:val="auto"/>
              </w:rPr>
            </w:pPr>
            <w:r>
              <w:rPr>
                <w:rFonts w:ascii="Arial" w:cs="Arial" w:eastAsia="Arial" w:hAnsi="Arial"/>
                <w:sz w:val="12"/>
                <w:szCs w:val="12"/>
                <w:b w:val="1"/>
                <w:bCs w:val="1"/>
                <w:color w:val="auto"/>
              </w:rPr>
              <w:t>Proposed</w:t>
            </w:r>
          </w:p>
        </w:tc>
        <w:tc>
          <w:tcPr>
            <w:tcW w:w="18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Proposed</w:t>
            </w:r>
          </w:p>
        </w:tc>
        <w:tc>
          <w:tcPr>
            <w:tcW w:w="1780" w:type="dxa"/>
            <w:vAlign w:val="bottom"/>
          </w:tcPr>
          <w:p>
            <w:pPr>
              <w:spacing w:after="0"/>
              <w:rPr>
                <w:sz w:val="9"/>
                <w:szCs w:val="9"/>
                <w:color w:val="auto"/>
              </w:rPr>
            </w:pPr>
          </w:p>
        </w:tc>
      </w:tr>
      <w:tr>
        <w:trPr>
          <w:trHeight w:val="152"/>
        </w:trPr>
        <w:tc>
          <w:tcPr>
            <w:tcW w:w="41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ind w:left="10"/>
              <w:spacing w:after="0" w:line="152" w:lineRule="exact"/>
              <w:rPr>
                <w:sz w:val="20"/>
                <w:szCs w:val="20"/>
                <w:color w:val="auto"/>
              </w:rPr>
            </w:pPr>
            <w:r>
              <w:rPr>
                <w:rFonts w:ascii="Arial" w:cs="Arial" w:eastAsia="Arial" w:hAnsi="Arial"/>
                <w:sz w:val="14"/>
                <w:szCs w:val="14"/>
                <w:b w:val="1"/>
                <w:bCs w:val="1"/>
                <w:color w:val="auto"/>
                <w:w w:val="97"/>
              </w:rPr>
              <w:t>maximum</w:t>
            </w:r>
          </w:p>
        </w:tc>
        <w:tc>
          <w:tcPr>
            <w:tcW w:w="18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7"/>
              </w:rPr>
              <w:t>maximum</w:t>
            </w:r>
          </w:p>
        </w:tc>
        <w:tc>
          <w:tcPr>
            <w:tcW w:w="1780" w:type="dxa"/>
            <w:vAlign w:val="bottom"/>
          </w:tcPr>
          <w:p>
            <w:pPr>
              <w:jc w:val="center"/>
              <w:ind w:left="7"/>
              <w:spacing w:after="0" w:line="152"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41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Title of each class of securities to be</w:t>
            </w:r>
          </w:p>
        </w:tc>
        <w:tc>
          <w:tcPr>
            <w:tcW w:w="184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5"/>
              </w:rPr>
              <w:t>Amount to be</w:t>
            </w:r>
          </w:p>
        </w:tc>
        <w:tc>
          <w:tcPr>
            <w:tcW w:w="184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96"/>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aggregate</w:t>
            </w:r>
          </w:p>
        </w:tc>
        <w:tc>
          <w:tcPr>
            <w:tcW w:w="178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96"/>
              </w:rPr>
              <w:t>registration</w:t>
            </w:r>
          </w:p>
        </w:tc>
      </w:tr>
      <w:tr>
        <w:trPr>
          <w:trHeight w:val="176"/>
        </w:trPr>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registered</w:t>
            </w:r>
          </w:p>
        </w:tc>
        <w:tc>
          <w:tcPr>
            <w:tcW w:w="184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7"/>
              </w:rPr>
              <w:t>registered</w:t>
            </w:r>
          </w:p>
        </w:tc>
        <w:tc>
          <w:tcPr>
            <w:tcW w:w="184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7"/>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offering price</w:t>
            </w:r>
          </w:p>
        </w:tc>
        <w:tc>
          <w:tcPr>
            <w:tcW w:w="178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9"/>
              </w:rPr>
              <w:t>fee (1)(2)</w:t>
            </w:r>
          </w:p>
        </w:tc>
      </w:tr>
      <w:tr>
        <w:trPr>
          <w:trHeight w:val="196"/>
        </w:trPr>
        <w:tc>
          <w:tcPr>
            <w:tcW w:w="41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7.250 % Notes due 2019</w:t>
            </w:r>
          </w:p>
        </w:tc>
        <w:tc>
          <w:tcPr>
            <w:tcW w:w="1840" w:type="dxa"/>
            <w:vAlign w:val="bottom"/>
            <w:tcBorders>
              <w:bottom w:val="single" w:sz="8" w:color="auto"/>
              <w:right w:val="single" w:sz="8" w:color="auto"/>
            </w:tcBorders>
          </w:tcPr>
          <w:p>
            <w:pPr>
              <w:jc w:val="center"/>
              <w:ind w:left="6"/>
              <w:spacing w:after="0" w:line="196" w:lineRule="exact"/>
              <w:rPr>
                <w:sz w:val="20"/>
                <w:szCs w:val="20"/>
                <w:color w:val="auto"/>
              </w:rPr>
            </w:pPr>
            <w:r>
              <w:rPr>
                <w:rFonts w:ascii="Arial" w:cs="Arial" w:eastAsia="Arial" w:hAnsi="Arial"/>
                <w:sz w:val="18"/>
                <w:szCs w:val="18"/>
                <w:color w:val="auto"/>
                <w:w w:val="98"/>
              </w:rPr>
              <w:t>$400,000,000</w:t>
            </w:r>
          </w:p>
        </w:tc>
        <w:tc>
          <w:tcPr>
            <w:tcW w:w="184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5"/>
              </w:rPr>
              <w:t>99.614%</w:t>
            </w:r>
          </w:p>
        </w:tc>
        <w:tc>
          <w:tcPr>
            <w:tcW w:w="1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$398,456,000</w:t>
            </w:r>
          </w:p>
        </w:tc>
        <w:tc>
          <w:tcPr>
            <w:tcW w:w="17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$15,720.00</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3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415(a)(6) under the Securities Act of 1933, as amended, (the “Securities Act”) the filing fee of $100,000 related to</w:t>
      </w:r>
    </w:p>
    <w:p>
      <w:pPr>
        <w:ind w:left="460" w:right="140"/>
        <w:spacing w:after="0" w:line="299" w:lineRule="auto"/>
        <w:rPr>
          <w:rFonts w:ascii="Arial" w:cs="Arial" w:eastAsia="Arial" w:hAnsi="Arial"/>
          <w:sz w:val="18"/>
          <w:szCs w:val="18"/>
          <w:color w:val="auto"/>
        </w:rPr>
      </w:pPr>
      <w:r>
        <w:rPr>
          <w:rFonts w:ascii="Arial" w:cs="Arial" w:eastAsia="Arial" w:hAnsi="Arial"/>
          <w:sz w:val="16"/>
          <w:szCs w:val="16"/>
          <w:color w:val="auto"/>
        </w:rPr>
        <w:t>$400,000,000 principal amount of debt securities that were registered under registration statement no. 333-72162 filed on October 24, 2001 (the “Previously Registered Securities”) and have not been issued and sold will be applied to the filing fee for this registration statement.</w:t>
      </w:r>
    </w:p>
    <w:p>
      <w:pPr>
        <w:spacing w:after="0" w:line="68" w:lineRule="exact"/>
        <w:rPr>
          <w:rFonts w:ascii="Arial" w:cs="Arial" w:eastAsia="Arial" w:hAnsi="Arial"/>
          <w:sz w:val="18"/>
          <w:szCs w:val="18"/>
          <w:color w:val="auto"/>
        </w:rPr>
      </w:pPr>
    </w:p>
    <w:p>
      <w:pPr>
        <w:ind w:left="460" w:right="180" w:hanging="452"/>
        <w:spacing w:after="0" w:line="23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completely exhausts the filing fee paid for the Previously Registered Securities. Going forward, the Registrant will be issuing securities on a pay-as-you-go basis pursuant to Rule 456(b) under the Securities Act.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Prospectus dated November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87503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50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The Washington Post Company</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$400,000,000</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7.250% Notes due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price: 99.614%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Interest payable February 1 and August 1.</w:t>
      </w:r>
    </w:p>
    <w:p>
      <w:pPr>
        <w:spacing w:after="0" w:line="212"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The 7.250% Notes due 2019 (the “Notes”) are an issue of the debt securities described in the accompanying prospectus. Interest on the Notes will be payable semi-annually on February 1 and August 1 of each year commencing August 1, 2009. The Notes will mature on February 1, 2019.</w:t>
      </w:r>
    </w:p>
    <w:p>
      <w:pPr>
        <w:spacing w:after="0" w:line="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may redeem the Notes in whole or in part at any time and from time to time prior to their maturity at the redemption price described in this prospectus supplement under the heading “Description of Notes—Optional Redemption.” Upon the occurrence of a Change of Control Repurchase Event, we will be required to make an offer to purchase the Notes at a price equal to 101% of their principal amount to the date of repurchase plus any accrued and unpaid interest.</w:t>
      </w:r>
    </w:p>
    <w:p>
      <w:pPr>
        <w:spacing w:after="0" w:line="79" w:lineRule="exact"/>
        <w:rPr>
          <w:sz w:val="20"/>
          <w:szCs w:val="20"/>
          <w:color w:val="auto"/>
        </w:rPr>
      </w:pPr>
    </w:p>
    <w:p>
      <w:pPr>
        <w:ind w:right="580"/>
        <w:spacing w:after="0" w:line="328" w:lineRule="auto"/>
        <w:rPr>
          <w:sz w:val="20"/>
          <w:szCs w:val="20"/>
          <w:color w:val="auto"/>
        </w:rPr>
      </w:pPr>
      <w:r>
        <w:rPr>
          <w:rFonts w:ascii="Arial" w:cs="Arial" w:eastAsia="Arial" w:hAnsi="Arial"/>
          <w:sz w:val="16"/>
          <w:szCs w:val="16"/>
          <w:b w:val="1"/>
          <w:bCs w:val="1"/>
          <w:color w:val="auto"/>
        </w:rPr>
        <w:t>Investing in these securities involves certain risks. See the information included and incorporated by reference in this prospectus supplement for a discussion of the factors you should carefully consider before deciding to purchase these securities.</w:t>
      </w:r>
    </w:p>
    <w:p>
      <w:pPr>
        <w:spacing w:after="0" w:line="3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Notes will be our general unsecured obligations and will rank equally in right of payment with all of our other existing and future unsecured and unsubordinated indebtedness.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60" w:type="dxa"/>
            <w:vAlign w:val="bottom"/>
            <w:tcBorders>
              <w:top w:val="single" w:sz="8" w:color="auto"/>
            </w:tcBorders>
          </w:tcPr>
          <w:p>
            <w:pPr>
              <w:spacing w:after="0"/>
              <w:rPr>
                <w:sz w:val="13"/>
                <w:szCs w:val="13"/>
                <w:color w:val="auto"/>
              </w:rPr>
            </w:pPr>
          </w:p>
        </w:tc>
        <w:tc>
          <w:tcPr>
            <w:tcW w:w="372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tcPr>
          <w:p>
            <w:pPr>
              <w:ind w:left="700"/>
              <w:spacing w:after="0" w:line="159" w:lineRule="exact"/>
              <w:rPr>
                <w:sz w:val="20"/>
                <w:szCs w:val="20"/>
                <w:color w:val="auto"/>
              </w:rPr>
            </w:pPr>
            <w:r>
              <w:rPr>
                <w:rFonts w:ascii="Arial" w:cs="Arial" w:eastAsia="Arial" w:hAnsi="Arial"/>
                <w:sz w:val="14"/>
                <w:szCs w:val="14"/>
                <w:b w:val="1"/>
                <w:bCs w:val="1"/>
                <w:color w:val="auto"/>
              </w:rPr>
              <w:t>Underwriting Discounts</w:t>
            </w:r>
          </w:p>
        </w:tc>
        <w:tc>
          <w:tcPr>
            <w:tcW w:w="2200" w:type="dxa"/>
            <w:vAlign w:val="bottom"/>
            <w:tcBorders>
              <w:top w:val="single" w:sz="8" w:color="auto"/>
            </w:tcBorders>
          </w:tcPr>
          <w:p>
            <w:pPr>
              <w:ind w:left="700"/>
              <w:spacing w:after="0" w:line="159" w:lineRule="exact"/>
              <w:rPr>
                <w:sz w:val="20"/>
                <w:szCs w:val="20"/>
                <w:color w:val="auto"/>
              </w:rPr>
            </w:pPr>
            <w:r>
              <w:rPr>
                <w:rFonts w:ascii="Arial" w:cs="Arial" w:eastAsia="Arial" w:hAnsi="Arial"/>
                <w:sz w:val="14"/>
                <w:szCs w:val="14"/>
                <w:b w:val="1"/>
                <w:bCs w:val="1"/>
                <w:color w:val="auto"/>
              </w:rPr>
              <w:t>Proceeds, Before</w:t>
            </w:r>
          </w:p>
        </w:tc>
      </w:tr>
      <w:tr>
        <w:trPr>
          <w:trHeight w:val="179"/>
        </w:trPr>
        <w:tc>
          <w:tcPr>
            <w:tcW w:w="25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Price to Public</w:t>
            </w:r>
          </w:p>
        </w:tc>
        <w:tc>
          <w:tcPr>
            <w:tcW w:w="29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and Commissions</w:t>
            </w:r>
          </w:p>
        </w:tc>
        <w:tc>
          <w:tcPr>
            <w:tcW w:w="22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96"/>
              </w:rPr>
              <w:t>Expenses, to Company</w:t>
            </w:r>
          </w:p>
        </w:tc>
      </w:tr>
      <w:tr>
        <w:trPr>
          <w:trHeight w:val="209"/>
        </w:trPr>
        <w:tc>
          <w:tcPr>
            <w:tcW w:w="2560" w:type="dxa"/>
            <w:vAlign w:val="bottom"/>
          </w:tcPr>
          <w:p>
            <w:pPr>
              <w:spacing w:after="0"/>
              <w:rPr>
                <w:sz w:val="20"/>
                <w:szCs w:val="20"/>
                <w:color w:val="auto"/>
              </w:rPr>
            </w:pPr>
            <w:r>
              <w:rPr>
                <w:rFonts w:ascii="Arial" w:cs="Arial" w:eastAsia="Arial" w:hAnsi="Arial"/>
                <w:sz w:val="14"/>
                <w:szCs w:val="14"/>
                <w:color w:val="auto"/>
              </w:rPr>
              <w:t>Per note</w:t>
            </w:r>
          </w:p>
        </w:tc>
        <w:tc>
          <w:tcPr>
            <w:tcW w:w="3720" w:type="dxa"/>
            <w:vAlign w:val="bottom"/>
          </w:tcPr>
          <w:p>
            <w:pPr>
              <w:jc w:val="right"/>
              <w:ind w:right="652"/>
              <w:spacing w:after="0"/>
              <w:rPr>
                <w:sz w:val="20"/>
                <w:szCs w:val="20"/>
                <w:color w:val="auto"/>
              </w:rPr>
            </w:pPr>
            <w:r>
              <w:rPr>
                <w:rFonts w:ascii="Arial" w:cs="Arial" w:eastAsia="Arial" w:hAnsi="Arial"/>
                <w:sz w:val="14"/>
                <w:szCs w:val="14"/>
                <w:color w:val="auto"/>
              </w:rPr>
              <w:t>99.614%</w:t>
            </w:r>
          </w:p>
        </w:tc>
        <w:tc>
          <w:tcPr>
            <w:tcW w:w="2940" w:type="dxa"/>
            <w:vAlign w:val="bottom"/>
          </w:tcPr>
          <w:p>
            <w:pPr>
              <w:jc w:val="right"/>
              <w:ind w:right="1332"/>
              <w:spacing w:after="0"/>
              <w:rPr>
                <w:sz w:val="20"/>
                <w:szCs w:val="20"/>
                <w:color w:val="auto"/>
              </w:rPr>
            </w:pPr>
            <w:r>
              <w:rPr>
                <w:rFonts w:ascii="Arial" w:cs="Arial" w:eastAsia="Arial" w:hAnsi="Arial"/>
                <w:sz w:val="14"/>
                <w:szCs w:val="14"/>
                <w:color w:val="auto"/>
              </w:rPr>
              <w:t>0.650%</w:t>
            </w:r>
          </w:p>
        </w:tc>
        <w:tc>
          <w:tcPr>
            <w:tcW w:w="2200" w:type="dxa"/>
            <w:vAlign w:val="bottom"/>
          </w:tcPr>
          <w:p>
            <w:pPr>
              <w:jc w:val="right"/>
              <w:ind w:right="452"/>
              <w:spacing w:after="0"/>
              <w:rPr>
                <w:sz w:val="20"/>
                <w:szCs w:val="20"/>
                <w:color w:val="auto"/>
              </w:rPr>
            </w:pPr>
            <w:r>
              <w:rPr>
                <w:rFonts w:ascii="Arial" w:cs="Arial" w:eastAsia="Arial" w:hAnsi="Arial"/>
                <w:sz w:val="14"/>
                <w:szCs w:val="14"/>
                <w:color w:val="auto"/>
              </w:rPr>
              <w:t>98.964%</w:t>
            </w:r>
          </w:p>
        </w:tc>
      </w:tr>
      <w:tr>
        <w:trPr>
          <w:trHeight w:val="149"/>
        </w:trPr>
        <w:tc>
          <w:tcPr>
            <w:tcW w:w="2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3720" w:type="dxa"/>
            <w:vAlign w:val="bottom"/>
            <w:tcBorders>
              <w:bottom w:val="single" w:sz="8" w:color="auto"/>
            </w:tcBorders>
          </w:tcPr>
          <w:p>
            <w:pPr>
              <w:ind w:left="2020"/>
              <w:spacing w:after="0" w:line="149" w:lineRule="exact"/>
              <w:rPr>
                <w:sz w:val="20"/>
                <w:szCs w:val="20"/>
                <w:color w:val="auto"/>
              </w:rPr>
            </w:pPr>
            <w:r>
              <w:rPr>
                <w:rFonts w:ascii="Arial" w:cs="Arial" w:eastAsia="Arial" w:hAnsi="Arial"/>
                <w:sz w:val="14"/>
                <w:szCs w:val="14"/>
                <w:color w:val="auto"/>
              </w:rPr>
              <w:t>$398,456,000</w:t>
            </w:r>
          </w:p>
        </w:tc>
        <w:tc>
          <w:tcPr>
            <w:tcW w:w="2940" w:type="dxa"/>
            <w:vAlign w:val="bottom"/>
            <w:tcBorders>
              <w:bottom w:val="single" w:sz="8" w:color="auto"/>
            </w:tcBorders>
          </w:tcPr>
          <w:p>
            <w:pPr>
              <w:ind w:left="700"/>
              <w:spacing w:after="0" w:line="149" w:lineRule="exact"/>
              <w:rPr>
                <w:sz w:val="20"/>
                <w:szCs w:val="20"/>
                <w:color w:val="auto"/>
              </w:rPr>
            </w:pPr>
            <w:r>
              <w:rPr>
                <w:rFonts w:ascii="Arial" w:cs="Arial" w:eastAsia="Arial" w:hAnsi="Arial"/>
                <w:sz w:val="14"/>
                <w:szCs w:val="14"/>
                <w:color w:val="auto"/>
              </w:rPr>
              <w:t>$2,600,000</w:t>
            </w:r>
          </w:p>
        </w:tc>
        <w:tc>
          <w:tcPr>
            <w:tcW w:w="2200" w:type="dxa"/>
            <w:vAlign w:val="bottom"/>
            <w:tcBorders>
              <w:bottom w:val="single" w:sz="8" w:color="auto"/>
            </w:tcBorders>
          </w:tcPr>
          <w:p>
            <w:pPr>
              <w:ind w:left="700"/>
              <w:spacing w:after="0" w:line="149" w:lineRule="exact"/>
              <w:rPr>
                <w:sz w:val="20"/>
                <w:szCs w:val="20"/>
                <w:color w:val="auto"/>
              </w:rPr>
            </w:pPr>
            <w:r>
              <w:rPr>
                <w:rFonts w:ascii="Arial" w:cs="Arial" w:eastAsia="Arial" w:hAnsi="Arial"/>
                <w:sz w:val="14"/>
                <w:szCs w:val="14"/>
                <w:color w:val="auto"/>
              </w:rPr>
              <w:t>$395,856,000</w:t>
            </w:r>
          </w:p>
        </w:tc>
      </w:tr>
    </w:tbl>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on the Notes will accrue from January 30, 2009 to the date of delivery.</w:t>
      </w:r>
    </w:p>
    <w:p>
      <w:pPr>
        <w:spacing w:after="0" w:line="10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underwriters expect to deliver the Notes to purchasers in book-entry form on or about January 30, 2009 through the facilities of the Depository Trust Company and its direct and indirect participants.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7400" w:type="dxa"/>
            <w:vAlign w:val="bottom"/>
          </w:tcPr>
          <w:p>
            <w:pPr>
              <w:jc w:val="center"/>
              <w:ind w:right="3891"/>
              <w:spacing w:after="0"/>
              <w:rPr>
                <w:sz w:val="20"/>
                <w:szCs w:val="20"/>
                <w:color w:val="auto"/>
              </w:rPr>
            </w:pPr>
            <w:r>
              <w:rPr>
                <w:rFonts w:ascii="Arial" w:cs="Arial" w:eastAsia="Arial" w:hAnsi="Arial"/>
                <w:sz w:val="18"/>
                <w:szCs w:val="18"/>
                <w:i w:val="1"/>
                <w:iCs w:val="1"/>
                <w:color w:val="auto"/>
                <w:w w:val="97"/>
              </w:rPr>
              <w:t>Joint Book-Running Managers</w:t>
            </w:r>
          </w:p>
        </w:tc>
        <w:tc>
          <w:tcPr>
            <w:tcW w:w="0" w:type="dxa"/>
            <w:vAlign w:val="bottom"/>
          </w:tcPr>
          <w:p>
            <w:pPr>
              <w:spacing w:after="0"/>
              <w:rPr>
                <w:sz w:val="1"/>
                <w:szCs w:val="1"/>
                <w:color w:val="auto"/>
              </w:rPr>
            </w:pPr>
          </w:p>
        </w:tc>
      </w:tr>
      <w:tr>
        <w:trPr>
          <w:trHeight w:val="503"/>
        </w:trPr>
        <w:tc>
          <w:tcPr>
            <w:tcW w:w="4020" w:type="dxa"/>
            <w:vAlign w:val="bottom"/>
          </w:tcPr>
          <w:p>
            <w:pPr>
              <w:spacing w:after="0"/>
              <w:rPr>
                <w:sz w:val="20"/>
                <w:szCs w:val="20"/>
                <w:color w:val="auto"/>
              </w:rPr>
            </w:pPr>
            <w:r>
              <w:rPr>
                <w:rFonts w:ascii="Arial" w:cs="Arial" w:eastAsia="Arial" w:hAnsi="Arial"/>
                <w:sz w:val="32"/>
                <w:szCs w:val="32"/>
                <w:b w:val="1"/>
                <w:bCs w:val="1"/>
                <w:color w:val="auto"/>
              </w:rPr>
              <w:t>Citi</w:t>
            </w:r>
          </w:p>
        </w:tc>
        <w:tc>
          <w:tcPr>
            <w:tcW w:w="7400" w:type="dxa"/>
            <w:vAlign w:val="bottom"/>
          </w:tcPr>
          <w:p>
            <w:pPr>
              <w:jc w:val="right"/>
              <w:spacing w:after="0"/>
              <w:rPr>
                <w:sz w:val="20"/>
                <w:szCs w:val="20"/>
                <w:color w:val="auto"/>
              </w:rPr>
            </w:pPr>
            <w:r>
              <w:rPr>
                <w:rFonts w:ascii="Arial" w:cs="Arial" w:eastAsia="Arial" w:hAnsi="Arial"/>
                <w:sz w:val="32"/>
                <w:szCs w:val="32"/>
                <w:b w:val="1"/>
                <w:bCs w:val="1"/>
                <w:color w:val="auto"/>
              </w:rPr>
              <w:t>J.P. Morgan</w:t>
            </w:r>
          </w:p>
        </w:tc>
        <w:tc>
          <w:tcPr>
            <w:tcW w:w="0" w:type="dxa"/>
            <w:vAlign w:val="bottom"/>
          </w:tcPr>
          <w:p>
            <w:pPr>
              <w:spacing w:after="0"/>
              <w:rPr>
                <w:sz w:val="1"/>
                <w:szCs w:val="1"/>
                <w:color w:val="auto"/>
              </w:rPr>
            </w:pPr>
          </w:p>
        </w:tc>
      </w:tr>
      <w:tr>
        <w:trPr>
          <w:trHeight w:val="321"/>
        </w:trPr>
        <w:tc>
          <w:tcPr>
            <w:tcW w:w="4020" w:type="dxa"/>
            <w:vAlign w:val="bottom"/>
          </w:tcPr>
          <w:p>
            <w:pPr>
              <w:spacing w:after="0"/>
              <w:rPr>
                <w:sz w:val="24"/>
                <w:szCs w:val="24"/>
                <w:color w:val="auto"/>
              </w:rPr>
            </w:pPr>
          </w:p>
        </w:tc>
        <w:tc>
          <w:tcPr>
            <w:tcW w:w="7400" w:type="dxa"/>
            <w:vAlign w:val="bottom"/>
          </w:tcPr>
          <w:p>
            <w:pPr>
              <w:jc w:val="center"/>
              <w:ind w:right="3911"/>
              <w:spacing w:after="0"/>
              <w:rPr>
                <w:sz w:val="20"/>
                <w:szCs w:val="20"/>
                <w:color w:val="auto"/>
              </w:rPr>
            </w:pPr>
            <w:r>
              <w:rPr>
                <w:rFonts w:ascii="Arial" w:cs="Arial" w:eastAsia="Arial" w:hAnsi="Arial"/>
                <w:sz w:val="18"/>
                <w:szCs w:val="18"/>
                <w:i w:val="1"/>
                <w:iCs w:val="1"/>
                <w:color w:val="auto"/>
                <w:w w:val="97"/>
              </w:rPr>
              <w:t>Senior Co-Managers</w:t>
            </w:r>
          </w:p>
        </w:tc>
        <w:tc>
          <w:tcPr>
            <w:tcW w:w="0" w:type="dxa"/>
            <w:vAlign w:val="bottom"/>
          </w:tcPr>
          <w:p>
            <w:pPr>
              <w:spacing w:after="0"/>
              <w:rPr>
                <w:sz w:val="1"/>
                <w:szCs w:val="1"/>
                <w:color w:val="auto"/>
              </w:rPr>
            </w:pPr>
          </w:p>
        </w:tc>
      </w:tr>
      <w:tr>
        <w:trPr>
          <w:trHeight w:val="398"/>
        </w:trPr>
        <w:tc>
          <w:tcPr>
            <w:tcW w:w="4020" w:type="dxa"/>
            <w:vAlign w:val="bottom"/>
          </w:tcPr>
          <w:p>
            <w:pPr>
              <w:spacing w:after="0"/>
              <w:rPr>
                <w:sz w:val="20"/>
                <w:szCs w:val="20"/>
                <w:color w:val="auto"/>
              </w:rPr>
            </w:pPr>
            <w:r>
              <w:rPr>
                <w:rFonts w:ascii="Arial" w:cs="Arial" w:eastAsia="Arial" w:hAnsi="Arial"/>
                <w:sz w:val="24"/>
                <w:szCs w:val="24"/>
                <w:b w:val="1"/>
                <w:bCs w:val="1"/>
                <w:color w:val="auto"/>
              </w:rPr>
              <w:t>SunTrust Robinson Humphrey</w:t>
            </w:r>
          </w:p>
        </w:tc>
        <w:tc>
          <w:tcPr>
            <w:tcW w:w="7400" w:type="dxa"/>
            <w:vAlign w:val="bottom"/>
          </w:tcPr>
          <w:p>
            <w:pPr>
              <w:jc w:val="right"/>
              <w:spacing w:after="0"/>
              <w:rPr>
                <w:sz w:val="20"/>
                <w:szCs w:val="20"/>
                <w:color w:val="auto"/>
              </w:rPr>
            </w:pPr>
            <w:r>
              <w:rPr>
                <w:rFonts w:ascii="Arial" w:cs="Arial" w:eastAsia="Arial" w:hAnsi="Arial"/>
                <w:sz w:val="24"/>
                <w:szCs w:val="24"/>
                <w:b w:val="1"/>
                <w:bCs w:val="1"/>
                <w:color w:val="auto"/>
              </w:rPr>
              <w:t>Wachovia Securities</w:t>
            </w:r>
          </w:p>
        </w:tc>
        <w:tc>
          <w:tcPr>
            <w:tcW w:w="0" w:type="dxa"/>
            <w:vAlign w:val="bottom"/>
          </w:tcPr>
          <w:p>
            <w:pPr>
              <w:spacing w:after="0"/>
              <w:rPr>
                <w:sz w:val="1"/>
                <w:szCs w:val="1"/>
                <w:color w:val="auto"/>
              </w:rPr>
            </w:pPr>
          </w:p>
        </w:tc>
      </w:tr>
      <w:tr>
        <w:trPr>
          <w:trHeight w:val="331"/>
        </w:trPr>
        <w:tc>
          <w:tcPr>
            <w:tcW w:w="4020" w:type="dxa"/>
            <w:vAlign w:val="bottom"/>
          </w:tcPr>
          <w:p>
            <w:pPr>
              <w:spacing w:after="0"/>
              <w:rPr>
                <w:sz w:val="24"/>
                <w:szCs w:val="24"/>
                <w:color w:val="auto"/>
              </w:rPr>
            </w:pPr>
          </w:p>
        </w:tc>
        <w:tc>
          <w:tcPr>
            <w:tcW w:w="7400" w:type="dxa"/>
            <w:vAlign w:val="bottom"/>
          </w:tcPr>
          <w:p>
            <w:pPr>
              <w:jc w:val="center"/>
              <w:ind w:right="3911"/>
              <w:spacing w:after="0"/>
              <w:rPr>
                <w:sz w:val="20"/>
                <w:szCs w:val="20"/>
                <w:color w:val="auto"/>
              </w:rPr>
            </w:pPr>
            <w:r>
              <w:rPr>
                <w:rFonts w:ascii="Arial" w:cs="Arial" w:eastAsia="Arial" w:hAnsi="Arial"/>
                <w:sz w:val="18"/>
                <w:szCs w:val="18"/>
                <w:i w:val="1"/>
                <w:iCs w:val="1"/>
                <w:color w:val="auto"/>
                <w:w w:val="97"/>
              </w:rPr>
              <w:t>Co-Managers</w:t>
            </w:r>
          </w:p>
        </w:tc>
        <w:tc>
          <w:tcPr>
            <w:tcW w:w="0" w:type="dxa"/>
            <w:vAlign w:val="bottom"/>
          </w:tcPr>
          <w:p>
            <w:pPr>
              <w:spacing w:after="0"/>
              <w:rPr>
                <w:sz w:val="1"/>
                <w:szCs w:val="1"/>
                <w:color w:val="auto"/>
              </w:rPr>
            </w:pPr>
          </w:p>
        </w:tc>
      </w:tr>
      <w:tr>
        <w:trPr>
          <w:trHeight w:val="350"/>
        </w:trPr>
        <w:tc>
          <w:tcPr>
            <w:tcW w:w="4020" w:type="dxa"/>
            <w:vAlign w:val="bottom"/>
          </w:tcPr>
          <w:p>
            <w:pPr>
              <w:spacing w:after="0"/>
              <w:rPr>
                <w:sz w:val="20"/>
                <w:szCs w:val="20"/>
                <w:color w:val="auto"/>
              </w:rPr>
            </w:pPr>
            <w:r>
              <w:rPr>
                <w:rFonts w:ascii="Arial" w:cs="Arial" w:eastAsia="Arial" w:hAnsi="Arial"/>
                <w:sz w:val="22"/>
                <w:szCs w:val="22"/>
                <w:b w:val="1"/>
                <w:bCs w:val="1"/>
                <w:color w:val="auto"/>
              </w:rPr>
              <w:t>BNY Mellon Capital Markets, LLC</w:t>
            </w:r>
          </w:p>
        </w:tc>
        <w:tc>
          <w:tcPr>
            <w:tcW w:w="7400" w:type="dxa"/>
            <w:vAlign w:val="bottom"/>
            <w:vMerge w:val="restart"/>
          </w:tcPr>
          <w:p>
            <w:pPr>
              <w:jc w:val="right"/>
              <w:ind w:right="3891"/>
              <w:spacing w:after="0"/>
              <w:rPr>
                <w:sz w:val="20"/>
                <w:szCs w:val="20"/>
                <w:color w:val="auto"/>
              </w:rPr>
            </w:pPr>
            <w:r>
              <w:rPr>
                <w:rFonts w:ascii="Arial" w:cs="Arial" w:eastAsia="Arial" w:hAnsi="Arial"/>
                <w:sz w:val="22"/>
                <w:szCs w:val="22"/>
                <w:b w:val="1"/>
                <w:bCs w:val="1"/>
                <w:color w:val="auto"/>
              </w:rPr>
              <w:t>PNC Capital Markets LLC</w:t>
            </w:r>
          </w:p>
        </w:tc>
        <w:tc>
          <w:tcPr>
            <w:tcW w:w="0" w:type="dxa"/>
            <w:vAlign w:val="bottom"/>
          </w:tcPr>
          <w:p>
            <w:pPr>
              <w:spacing w:after="0"/>
              <w:rPr>
                <w:sz w:val="1"/>
                <w:szCs w:val="1"/>
                <w:color w:val="auto"/>
              </w:rPr>
            </w:pPr>
          </w:p>
        </w:tc>
      </w:tr>
      <w:tr>
        <w:trPr>
          <w:trHeight w:val="201"/>
        </w:trPr>
        <w:tc>
          <w:tcPr>
            <w:tcW w:w="4020" w:type="dxa"/>
            <w:vAlign w:val="bottom"/>
          </w:tcPr>
          <w:p>
            <w:pPr>
              <w:spacing w:after="0"/>
              <w:rPr>
                <w:sz w:val="17"/>
                <w:szCs w:val="17"/>
                <w:color w:val="auto"/>
              </w:rPr>
            </w:pPr>
          </w:p>
        </w:tc>
        <w:tc>
          <w:tcPr>
            <w:tcW w:w="7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020" w:type="dxa"/>
            <w:vAlign w:val="bottom"/>
          </w:tcPr>
          <w:p>
            <w:pPr>
              <w:spacing w:after="0"/>
              <w:rPr>
                <w:sz w:val="24"/>
                <w:szCs w:val="24"/>
                <w:color w:val="auto"/>
              </w:rPr>
            </w:pPr>
          </w:p>
        </w:tc>
        <w:tc>
          <w:tcPr>
            <w:tcW w:w="740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Supplement is January 27, 2009</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You should rely only on the information provided in this prospectus supplement and the accompanying prospectus or any free writing prospectus filed by us with the Securities and Exchange Commission (the “Commission”), including the information incorporated by reference. We have not authorized anyone to provide you with different information. We are not offering the securities in any state where the offer is not permitted. You should not assume that the information in this prospectus supplement, or the accompanying prospectus, is accurate at any date other than the date indicated on the cover page of these documents.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70"/>
              <w:spacing w:after="0"/>
              <w:rPr>
                <w:sz w:val="20"/>
                <w:szCs w:val="20"/>
                <w:color w:val="auto"/>
              </w:rPr>
            </w:pPr>
            <w:r>
              <w:rPr>
                <w:rFonts w:ascii="Arial" w:cs="Arial" w:eastAsia="Arial" w:hAnsi="Arial"/>
                <w:sz w:val="32"/>
                <w:szCs w:val="32"/>
                <w:b w:val="1"/>
                <w:bCs w:val="1"/>
                <w:color w:val="auto"/>
              </w:rPr>
              <w:t>Table of contents</w:t>
            </w:r>
          </w:p>
        </w:tc>
      </w:tr>
      <w:tr>
        <w:trPr>
          <w:trHeight w:val="321"/>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70"/>
              <w:spacing w:after="0"/>
              <w:rPr>
                <w:sz w:val="20"/>
                <w:szCs w:val="20"/>
                <w:color w:val="auto"/>
              </w:rPr>
            </w:pPr>
            <w:r>
              <w:rPr>
                <w:rFonts w:ascii="Arial" w:cs="Arial" w:eastAsia="Arial" w:hAnsi="Arial"/>
                <w:sz w:val="18"/>
                <w:szCs w:val="18"/>
                <w:color w:val="auto"/>
                <w:w w:val="97"/>
              </w:rPr>
              <w:t>Prospectus Supplement</w:t>
            </w:r>
          </w:p>
        </w:tc>
      </w:tr>
      <w:tr>
        <w:trPr>
          <w:trHeight w:val="353"/>
        </w:trPr>
        <w:tc>
          <w:tcPr>
            <w:tcW w:w="276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About This Prospectus Supplement</w:t>
              </w:r>
            </w:hyperlink>
          </w:p>
        </w:tc>
        <w:tc>
          <w:tcPr>
            <w:tcW w:w="1400" w:type="dxa"/>
            <w:vAlign w:val="bottom"/>
            <w:gridSpan w:val="4"/>
          </w:tcPr>
          <w:p>
            <w:pPr>
              <w:spacing w:after="0"/>
              <w:rPr>
                <w:sz w:val="24"/>
                <w:szCs w:val="24"/>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41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Special Note Regarding Forward-Looking Statements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S-iv</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390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Incorporation of Certain Documents By Reference</w:t>
              </w:r>
            </w:hyperlink>
          </w:p>
        </w:tc>
        <w:tc>
          <w:tcPr>
            <w:tcW w:w="260" w:type="dxa"/>
            <w:vAlign w:val="bottom"/>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S-v</w:t>
            </w:r>
          </w:p>
        </w:tc>
      </w:tr>
      <w:tr>
        <w:trPr>
          <w:trHeight w:val="250"/>
        </w:trPr>
        <w:tc>
          <w:tcPr>
            <w:tcW w:w="26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Prospectus Supplement Summary</w:t>
              </w:r>
            </w:hyperlink>
          </w:p>
        </w:tc>
        <w:tc>
          <w:tcPr>
            <w:tcW w:w="1480" w:type="dxa"/>
            <w:vAlign w:val="bottom"/>
            <w:gridSpan w:val="6"/>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Use of Proceeds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Ratio of Earnings to Fixed Charges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50"/>
        </w:trPr>
        <w:tc>
          <w:tcPr>
            <w:tcW w:w="2740" w:type="dxa"/>
            <w:vAlign w:val="bottom"/>
            <w:tcBorders>
              <w:top w:val="single" w:sz="8" w:color="0000EE"/>
            </w:tcBorders>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Description of Notes</w:t>
              </w:r>
            </w:hyperlink>
          </w:p>
        </w:tc>
        <w:tc>
          <w:tcPr>
            <w:tcW w:w="1420" w:type="dxa"/>
            <w:vAlign w:val="bottom"/>
            <w:gridSpan w:val="5"/>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388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United States Federal Income Tax Consequences</w:t>
              </w:r>
            </w:hyperlink>
          </w:p>
        </w:tc>
        <w:tc>
          <w:tcPr>
            <w:tcW w:w="280" w:type="dxa"/>
            <w:vAlign w:val="bottom"/>
            <w:gridSpan w:val="2"/>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S-21</w:t>
            </w:r>
          </w:p>
        </w:tc>
      </w:tr>
      <w:tr>
        <w:trPr>
          <w:trHeight w:val="250"/>
        </w:trPr>
        <w:tc>
          <w:tcPr>
            <w:tcW w:w="10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Underwriting</w:t>
              </w:r>
            </w:hyperlink>
          </w:p>
        </w:tc>
        <w:tc>
          <w:tcPr>
            <w:tcW w:w="3160" w:type="dxa"/>
            <w:vAlign w:val="bottom"/>
            <w:gridSpan w:val="14"/>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S-24</w:t>
            </w:r>
          </w:p>
        </w:tc>
      </w:tr>
      <w:tr>
        <w:trPr>
          <w:trHeight w:val="250"/>
        </w:trPr>
        <w:tc>
          <w:tcPr>
            <w:tcW w:w="108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Legal Matters</w:t>
              </w:r>
            </w:hyperlink>
          </w:p>
        </w:tc>
        <w:tc>
          <w:tcPr>
            <w:tcW w:w="3080" w:type="dxa"/>
            <w:vAlign w:val="bottom"/>
            <w:gridSpan w:val="13"/>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370"/>
        </w:trPr>
        <w:tc>
          <w:tcPr>
            <w:tcW w:w="6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50"/>
              <w:spacing w:after="0"/>
              <w:rPr>
                <w:sz w:val="20"/>
                <w:szCs w:val="20"/>
                <w:color w:val="auto"/>
              </w:rPr>
            </w:pPr>
            <w:r>
              <w:rPr>
                <w:rFonts w:ascii="Arial" w:cs="Arial" w:eastAsia="Arial" w:hAnsi="Arial"/>
                <w:sz w:val="18"/>
                <w:szCs w:val="18"/>
                <w:color w:val="auto"/>
                <w:w w:val="97"/>
              </w:rPr>
              <w:t>Prospectus</w:t>
            </w:r>
          </w:p>
        </w:tc>
      </w:tr>
      <w:tr>
        <w:trPr>
          <w:trHeight w:val="353"/>
        </w:trPr>
        <w:tc>
          <w:tcPr>
            <w:tcW w:w="17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About this Prospectus</w:t>
              </w:r>
            </w:hyperlink>
          </w:p>
        </w:tc>
        <w:tc>
          <w:tcPr>
            <w:tcW w:w="2440" w:type="dxa"/>
            <w:vAlign w:val="bottom"/>
            <w:gridSpan w:val="9"/>
          </w:tcPr>
          <w:p>
            <w:pPr>
              <w:spacing w:after="0"/>
              <w:rPr>
                <w:sz w:val="24"/>
                <w:szCs w:val="24"/>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80" w:type="dxa"/>
            <w:vAlign w:val="bottom"/>
            <w:gridSpan w:val="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390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Incorporation of Certain Documents By Reference</w:t>
              </w:r>
            </w:hyperlink>
          </w:p>
        </w:tc>
        <w:tc>
          <w:tcPr>
            <w:tcW w:w="260" w:type="dxa"/>
            <w:vAlign w:val="bottom"/>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Forward-Looking Statements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80" w:type="dxa"/>
            <w:vAlign w:val="bottom"/>
            <w:gridSpan w:val="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248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The Washington Post Company</w:t>
              </w:r>
            </w:hyperlink>
          </w:p>
        </w:tc>
        <w:tc>
          <w:tcPr>
            <w:tcW w:w="1680" w:type="dxa"/>
            <w:vAlign w:val="bottom"/>
            <w:gridSpan w:val="7"/>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3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11"/>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6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Description of The Debt Securities</w:t>
              </w:r>
            </w:hyperlink>
          </w:p>
        </w:tc>
        <w:tc>
          <w:tcPr>
            <w:tcW w:w="60" w:type="dxa"/>
            <w:vAlign w:val="bottom"/>
            <w:tcBorders>
              <w:top w:val="single" w:sz="8" w:color="0000EE"/>
            </w:tcBorders>
          </w:tcPr>
          <w:p>
            <w:pPr>
              <w:spacing w:after="0"/>
              <w:rPr>
                <w:sz w:val="21"/>
                <w:szCs w:val="21"/>
                <w:color w:val="auto"/>
              </w:rPr>
            </w:pPr>
          </w:p>
        </w:tc>
        <w:tc>
          <w:tcPr>
            <w:tcW w:w="1420" w:type="dxa"/>
            <w:vAlign w:val="bottom"/>
            <w:gridSpan w:val="5"/>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Legal Matters</w:t>
              </w:r>
            </w:hyperlink>
          </w:p>
        </w:tc>
        <w:tc>
          <w:tcPr>
            <w:tcW w:w="400" w:type="dxa"/>
            <w:vAlign w:val="bottom"/>
            <w:tcBorders>
              <w:top w:val="single" w:sz="8" w:color="0000EE"/>
            </w:tcBorders>
            <w:gridSpan w:val="2"/>
          </w:tcPr>
          <w:p>
            <w:pPr>
              <w:spacing w:after="0"/>
              <w:rPr>
                <w:sz w:val="21"/>
                <w:szCs w:val="21"/>
                <w:color w:val="auto"/>
              </w:rPr>
            </w:pPr>
          </w:p>
        </w:tc>
        <w:tc>
          <w:tcPr>
            <w:tcW w:w="2680" w:type="dxa"/>
            <w:vAlign w:val="bottom"/>
            <w:gridSpan w:val="11"/>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70"/>
        </w:trPr>
        <w:tc>
          <w:tcPr>
            <w:tcW w:w="6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70"/>
              <w:spacing w:after="0"/>
              <w:rPr>
                <w:sz w:val="20"/>
                <w:szCs w:val="20"/>
                <w:color w:val="auto"/>
              </w:rPr>
            </w:pPr>
            <w:r>
              <w:rPr>
                <w:rFonts w:ascii="Arial" w:cs="Arial" w:eastAsia="Arial" w:hAnsi="Arial"/>
                <w:sz w:val="18"/>
                <w:szCs w:val="18"/>
                <w:color w:val="auto"/>
                <w:w w:val="99"/>
              </w:rPr>
              <w:t>S-ii</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document consists of two parts. The first part is the prospectus supplement, which describes the specific terms of the Notes we are offering and certain other matters relating to The Washington Post Company (together with its subsidiaries, the “Company”). The second part, the base prospectus, gives more general information about securities we may offer from time to time, some of which does not apply to the Notes we are offering. Generally, when we refer to the prospectus, we are referring to both parts of this document combined. If the description of the Notes in the prospectus supplement differs from the description in the base prospectus, the description in the prospectus supplement supersedes the description in the base prospectus.</w:t>
      </w:r>
    </w:p>
    <w:p>
      <w:pPr>
        <w:spacing w:after="0" w:line="10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Before purchasing any Notes, you should carefully read both this prospectus supplement and the accompanying prospectus, together with the additional information described under the heading “Where You Can Find More Information.”</w:t>
      </w:r>
    </w:p>
    <w:p>
      <w:pPr>
        <w:spacing w:after="0" w:line="101"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Offers and sales of the Notes are subject to restrictions which are discussed in “Underwriting” below. The distribution of this prospectus supplement and the accompanying prospectus and the offering of the Notes in certain other jurisdictions may also be restricted by law. In this prospectus supplement and the accompanying prospectus, unless otherwise specified or the context otherwise requires, references to “dollars” and “$” are to U.S. dollars. Unless otherwise specified or the context otherwise requires, the terms “the Company,” “we,” “us,” and “our” refer to The Washington Post Company and its subsidiaries.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public statements made by us that are not statements of historical fact, including certain statements made or incorporated by reference in this prospectus supplement or the accompanying prospectus, are “forward-looking statements” within the meaning of the Private Securities Litigation Reform Act of 1995. Forward-looking statements including comments about our business strategies and objectives, the prospects for growth in our various business operations, and our future financial performance are subject to various risks and uncertainties that could cause actual results or events to differ materially from those anticipated in such statements. Accordingly, undue reliance should not be placed on any such forward-looking statement. We assume no obligation to update any forward-looking statement after the date on which such statement is made, even if new information subsequently becomes available.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We have filed with the Commission a registration statement under the Securities Act of 1933, as amended (the “Securities Act”) that registers the distribution of the Notes. The registration statement, including the attached exhibits and schedules, contains additional relevant information about us and our securities. The rules and regulations of the Commission allow us to omit certain information included in the registration statement from this prospectus.</w:t>
      </w:r>
    </w:p>
    <w:p>
      <w:pPr>
        <w:spacing w:after="0" w:line="101" w:lineRule="exact"/>
        <w:rPr>
          <w:sz w:val="20"/>
          <w:szCs w:val="20"/>
          <w:color w:val="auto"/>
        </w:rPr>
      </w:pPr>
    </w:p>
    <w:p>
      <w:pPr>
        <w:ind w:right="660"/>
        <w:spacing w:after="0" w:line="299" w:lineRule="auto"/>
        <w:rPr>
          <w:sz w:val="20"/>
          <w:szCs w:val="20"/>
          <w:color w:val="auto"/>
        </w:rPr>
      </w:pPr>
      <w:r>
        <w:rPr>
          <w:rFonts w:ascii="Arial" w:cs="Arial" w:eastAsia="Arial" w:hAnsi="Arial"/>
          <w:sz w:val="16"/>
          <w:szCs w:val="16"/>
          <w:color w:val="auto"/>
        </w:rPr>
        <w:t>In addition, we file annual, quarterly and current reports, proxy statements and other information with the Commission under the Securities Exchange Act of 1934, as amended (the “Exchange Act”). You may read and copy this information at the following locations of the SEC.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Public Reference Room</w:t>
      </w:r>
    </w:p>
    <w:p>
      <w:pPr>
        <w:jc w:val="center"/>
        <w:ind w:right="-39"/>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You may also obtain copies of this information by mail from the Public Reference Section of the Commission, 100 F Street, N.E., Washington, D.C. 20549, at prescribed rates. You may obtain information on the operation of the Public Reference Room by calling the Commission at 1-800-SEC-0330.</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Commission also maintains a website that contains reports, proxy statements and other information about issuers. The address of that site is http://www.sec.gov.</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 can also inspect reports, proxy statements and other information about the Company at the offices of the New York Stock Exchange, 20 Broad Street, New York, New York 10005.</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Incorporation of certain documents by reference</w:t>
      </w:r>
    </w:p>
    <w:p>
      <w:pPr>
        <w:spacing w:after="0" w:line="158"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The Commission allows us to “incorporate by reference” information into this prospectus supplement and the accompanying prospectus. This means that we can disclose important information to you by referring you to another document filed separately with the Commission. The information incorporated by reference is considered to be a part of this prospectus supplement and accompanying prospectus, except for any information that is superseded by information that is included directly in this document.</w:t>
      </w:r>
    </w:p>
    <w:p>
      <w:pPr>
        <w:spacing w:after="0" w:line="1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This prospectus incorporates by reference the documents listed below that we have previously filed with the Commission. They contain important information about us and our predecessors.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Company SEC Filings</w:t>
            </w:r>
          </w:p>
        </w:tc>
        <w:tc>
          <w:tcPr>
            <w:tcW w:w="752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Period</w:t>
            </w: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7520" w:type="dxa"/>
            <w:vAlign w:val="bottom"/>
          </w:tcPr>
          <w:p>
            <w:pPr>
              <w:ind w:left="1360"/>
              <w:spacing w:after="0"/>
              <w:rPr>
                <w:sz w:val="20"/>
                <w:szCs w:val="20"/>
                <w:color w:val="auto"/>
              </w:rPr>
            </w:pPr>
            <w:r>
              <w:rPr>
                <w:rFonts w:ascii="Arial" w:cs="Arial" w:eastAsia="Arial" w:hAnsi="Arial"/>
                <w:sz w:val="18"/>
                <w:szCs w:val="18"/>
                <w:color w:val="auto"/>
              </w:rPr>
              <w:t>Year ended December 30, 2007</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Quarterly Reports on Form 10-Q</w:t>
            </w:r>
          </w:p>
        </w:tc>
        <w:tc>
          <w:tcPr>
            <w:tcW w:w="7520" w:type="dxa"/>
            <w:vAlign w:val="bottom"/>
          </w:tcPr>
          <w:p>
            <w:pPr>
              <w:ind w:left="1360"/>
              <w:spacing w:after="0"/>
              <w:rPr>
                <w:sz w:val="20"/>
                <w:szCs w:val="20"/>
                <w:color w:val="auto"/>
              </w:rPr>
            </w:pPr>
            <w:r>
              <w:rPr>
                <w:rFonts w:ascii="Arial" w:cs="Arial" w:eastAsia="Arial" w:hAnsi="Arial"/>
                <w:sz w:val="18"/>
                <w:szCs w:val="18"/>
                <w:color w:val="auto"/>
              </w:rPr>
              <w:t>Quarters ended March 30, 2008, June 29, 2008 and September 28, 2008</w:t>
            </w:r>
          </w:p>
        </w:tc>
      </w:tr>
      <w:tr>
        <w:trPr>
          <w:trHeight w:val="262"/>
        </w:trPr>
        <w:tc>
          <w:tcPr>
            <w:tcW w:w="3900" w:type="dxa"/>
            <w:vAlign w:val="bottom"/>
          </w:tcPr>
          <w:p>
            <w:pPr>
              <w:spacing w:after="0"/>
              <w:rPr>
                <w:sz w:val="20"/>
                <w:szCs w:val="20"/>
                <w:color w:val="auto"/>
              </w:rPr>
            </w:pPr>
            <w:r>
              <w:rPr>
                <w:rFonts w:ascii="Arial" w:cs="Arial" w:eastAsia="Arial" w:hAnsi="Arial"/>
                <w:sz w:val="18"/>
                <w:szCs w:val="18"/>
                <w:color w:val="auto"/>
              </w:rPr>
              <w:t>Current Reports on Form 8-K</w:t>
            </w:r>
          </w:p>
        </w:tc>
        <w:tc>
          <w:tcPr>
            <w:tcW w:w="7520" w:type="dxa"/>
            <w:vAlign w:val="bottom"/>
          </w:tcPr>
          <w:p>
            <w:pPr>
              <w:ind w:left="1360"/>
              <w:spacing w:after="0"/>
              <w:rPr>
                <w:sz w:val="20"/>
                <w:szCs w:val="20"/>
                <w:color w:val="auto"/>
              </w:rPr>
            </w:pPr>
            <w:r>
              <w:rPr>
                <w:rFonts w:ascii="Arial" w:cs="Arial" w:eastAsia="Arial" w:hAnsi="Arial"/>
                <w:sz w:val="18"/>
                <w:szCs w:val="18"/>
                <w:color w:val="auto"/>
                <w:w w:val="98"/>
              </w:rPr>
              <w:t>As filed on January 17, 2008, February 7, 2008, May 16, 2008, June 10, 2008,</w:t>
            </w:r>
          </w:p>
        </w:tc>
      </w:tr>
      <w:tr>
        <w:trPr>
          <w:trHeight w:val="212"/>
        </w:trPr>
        <w:tc>
          <w:tcPr>
            <w:tcW w:w="390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June 12, 2008, July 2, 2008, November 19, 2008 and January 23, 2009.</w:t>
            </w:r>
          </w:p>
        </w:tc>
      </w:tr>
    </w:tbl>
    <w:p>
      <w:pPr>
        <w:spacing w:after="0" w:line="1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incorporate by reference additional documents that we may file with the Commission between the date of this prospectus supplement and the termination or completion of the offering of the Notes. These documents include periodic reports, such as Annual Reports on Form 10-K, Quarterly Reports on Form 10-Q and Current Reports on Form 8-K, as well as proxy statements. Any report, document, or portion thereof that is furnished to, but not filed with, the Commission is not incorporated by reference. The information contained on our website (</w:t>
      </w:r>
      <w:r>
        <w:rPr>
          <w:rFonts w:ascii="Arial" w:cs="Arial" w:eastAsia="Arial" w:hAnsi="Arial"/>
          <w:sz w:val="18"/>
          <w:szCs w:val="18"/>
          <w:i w:val="1"/>
          <w:iCs w:val="1"/>
          <w:color w:val="auto"/>
        </w:rPr>
        <w:t>www.washpostco.com</w:t>
      </w:r>
      <w:r>
        <w:rPr>
          <w:rFonts w:ascii="Arial" w:cs="Arial" w:eastAsia="Arial" w:hAnsi="Arial"/>
          <w:sz w:val="18"/>
          <w:szCs w:val="18"/>
          <w:color w:val="auto"/>
        </w:rPr>
        <w:t>) is not incorporated into this prospectus.</w:t>
      </w:r>
    </w:p>
    <w:p>
      <w:pPr>
        <w:spacing w:after="0" w:line="10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You can obtain any of the documents incorporated by reference in this document through us, or from the Commission through the Commission’s website at the address described above. Documents incorporated by reference are available from us without charge, excluding any exhibits to those documents unless the exhibit is specifically incorporated by reference as an exhibit in this prospectus supplement. You can obtain documents incorporated by reference in this prospectus supplement and accompanying prospectus by requesting them in writing or by telephone from us at the following address: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Counsel’s Office</w:t>
      </w:r>
    </w:p>
    <w:p>
      <w:pPr>
        <w:jc w:val="center"/>
        <w:spacing w:after="0" w:line="234" w:lineRule="auto"/>
        <w:rPr>
          <w:sz w:val="20"/>
          <w:szCs w:val="20"/>
          <w:color w:val="auto"/>
        </w:rPr>
      </w:pPr>
      <w:r>
        <w:rPr>
          <w:rFonts w:ascii="Arial" w:cs="Arial" w:eastAsia="Arial" w:hAnsi="Arial"/>
          <w:sz w:val="18"/>
          <w:szCs w:val="18"/>
          <w:color w:val="auto"/>
        </w:rPr>
        <w:t>The Washington Post Company</w:t>
      </w:r>
    </w:p>
    <w:p>
      <w:pPr>
        <w:jc w:val="center"/>
        <w:spacing w:after="0" w:line="235" w:lineRule="auto"/>
        <w:rPr>
          <w:sz w:val="20"/>
          <w:szCs w:val="20"/>
          <w:color w:val="auto"/>
        </w:rPr>
      </w:pPr>
      <w:r>
        <w:rPr>
          <w:rFonts w:ascii="Arial" w:cs="Arial" w:eastAsia="Arial" w:hAnsi="Arial"/>
          <w:sz w:val="18"/>
          <w:szCs w:val="18"/>
          <w:color w:val="auto"/>
        </w:rPr>
        <w:t>1150 15th Street, N.W.</w:t>
      </w:r>
    </w:p>
    <w:p>
      <w:pPr>
        <w:jc w:val="center"/>
        <w:spacing w:after="0" w:line="235" w:lineRule="auto"/>
        <w:rPr>
          <w:sz w:val="20"/>
          <w:szCs w:val="20"/>
          <w:color w:val="auto"/>
        </w:rPr>
      </w:pPr>
      <w:r>
        <w:rPr>
          <w:rFonts w:ascii="Arial" w:cs="Arial" w:eastAsia="Arial" w:hAnsi="Arial"/>
          <w:sz w:val="18"/>
          <w:szCs w:val="18"/>
          <w:color w:val="auto"/>
        </w:rPr>
        <w:t>Washington, D.C. 20071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 334-6000</w:t>
      </w:r>
    </w:p>
    <w:p>
      <w:pPr>
        <w:spacing w:after="0" w:line="10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If you request any incorporated documents from us, we will mail them to you by first class mail, or other means, promptly after we receive your request.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03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47034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Prospectus supplement summary</w:t>
      </w:r>
    </w:p>
    <w:p>
      <w:pPr>
        <w:spacing w:after="0" w:line="15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This summary highlights information contained or incorporated by reference in this prospectus supplement. This summary does not contain all of the information that you should consider before deciding to invest in the Notes. You should carefully read this entire prospectus supplement and the accompanying prospectus, including the information incorporated by reference.</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The Washington Post Company</w:t>
      </w:r>
    </w:p>
    <w:p>
      <w:pPr>
        <w:spacing w:after="0" w:line="15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Washington Post Company is a diversified education and media company. Our Kaplan subsidiary provides a wide variety of educational services, both domestically and outside the United States. Our media operations consist of newspaper publishing (principally The Washington Post), television broadcasting (through the ownership and operation of six television broadcast stations), magazine publishing (principally Newsweek) and the ownership and operation of cable television systems.</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were incorporated in 1947 under the laws of the State of Delaware. Our executive offices are located at 1150 15th Street, N.W., Washington, D.C. 20071, and our telephone number is (202) 334-6000. We maintain a website that contains information about us at www.washpostco.com. The information included on our website is not, and should not be considered as, a part of this prospectus supplement or the accompanying prospectus. For purposes of this section of the prospectus supplement, references to “the Company” are to “The Washington Post Company.”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Education</w:t>
      </w:r>
    </w:p>
    <w:p>
      <w:pPr>
        <w:spacing w:after="0" w:line="13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Kaplan, Inc., a subsidiary of the Company, provides an extensive range of educational services for children, students and professionals. Kaplan’s historical focus on test preparation has been expanded as new educational businesses have been acquired or initiated. We divide Kaplan’s various businesses into three categories: Higher Education, Test Prep and Admissions, and Professional. Kaplan accounted for 49% and 52%, respectively, of the Company’s operating revenue in 2007 and the first nine months of 2008.</w:t>
      </w:r>
    </w:p>
    <w:p>
      <w:pPr>
        <w:spacing w:after="0" w:line="79"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b w:val="1"/>
          <w:bCs w:val="1"/>
          <w:color w:val="auto"/>
        </w:rPr>
        <w:t xml:space="preserve">Higher education. </w:t>
      </w:r>
      <w:r>
        <w:rPr>
          <w:rFonts w:ascii="Arial" w:cs="Arial" w:eastAsia="Arial" w:hAnsi="Arial"/>
          <w:sz w:val="18"/>
          <w:szCs w:val="18"/>
          <w:color w:val="auto"/>
        </w:rPr>
        <w:t>Kaplan’s U.S.-based Higher Education business currently consists of 71 schools in 20 states that provide classroom-based instruction and two institutions that specialize in distance education. The schools providing classroom-based instruction offer a variety of diploma, associate degree and bachelor degree programs, primarily in the fields of healthcare, business, paralegal studies, information technology, criminal justice and fashion and design. Each of these schools has its own accreditation from one of several regional or national accrediting agencies recognized by the U.S. Department of Education. The institutions of higher education that specialize in distance education are Kaplan University and Concord Law School (“Concord”). Kaplan University offers various master degree, bachelor degree, associate degree and certificate programs, principally in the fields of management, criminal justice, paralegal studies, information technology, financial planning, nursing and education. Concord is the nation’s first online law school and offers Juris Doctor and Executive Juris Doctor degrees wholly online.</w:t>
      </w: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43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6437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Higher Education business also includes Kaplan Virtual Education, which offers online high school instruction and online content and curriculum development. Kaplan also operates international degree programs consisting of: Dublin Business School, an undergraduate and graduate institution located in Dublin, Ireland; Holborn College, located in London, which offers various pre-university, undergraduate, post-graduate and professional programs, primarily in law and business, with its students receiving degrees from affiliated universities in the United Kingdom; and Kaplan Law School in London in collaboration with Nottingham Trent University’s Nottingham Law School. Kaplan Law School provides graduate diploma, legal practice and bar vocational training for U.K. university graduates wishing to progress into the U.K. legal profession.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Higher Education accounted for 50% and 53%, respectively, of Kaplan’s operating revenue in 2007 and the first nine months of 2008.</w:t>
      </w:r>
    </w:p>
    <w:p>
      <w:pPr>
        <w:spacing w:after="0" w:line="190" w:lineRule="exact"/>
        <w:rPr>
          <w:sz w:val="20"/>
          <w:szCs w:val="20"/>
          <w:color w:val="auto"/>
        </w:rPr>
      </w:pPr>
    </w:p>
    <w:p>
      <w:pPr>
        <w:ind w:left="200"/>
        <w:spacing w:after="0"/>
        <w:tabs>
          <w:tab w:leader="none" w:pos="2580" w:val="left"/>
        </w:tabs>
        <w:rPr>
          <w:sz w:val="20"/>
          <w:szCs w:val="20"/>
          <w:color w:val="auto"/>
        </w:rPr>
      </w:pPr>
      <w:r>
        <w:rPr>
          <w:rFonts w:ascii="Arial" w:cs="Arial" w:eastAsia="Arial" w:hAnsi="Arial"/>
          <w:sz w:val="18"/>
          <w:szCs w:val="18"/>
          <w:b w:val="1"/>
          <w:bCs w:val="1"/>
          <w:color w:val="auto"/>
        </w:rPr>
        <w:t>Test prep and admissions.</w:t>
      </w:r>
      <w:r>
        <w:rPr>
          <w:sz w:val="20"/>
          <w:szCs w:val="20"/>
          <w:color w:val="auto"/>
        </w:rPr>
        <w:tab/>
      </w:r>
      <w:r>
        <w:rPr>
          <w:rFonts w:ascii="Arial" w:cs="Arial" w:eastAsia="Arial" w:hAnsi="Arial"/>
          <w:sz w:val="16"/>
          <w:szCs w:val="16"/>
          <w:color w:val="auto"/>
        </w:rPr>
        <w:t>Test Prep and Admissions divides its businesses into the following categories.</w:t>
      </w:r>
    </w:p>
    <w:p>
      <w:pPr>
        <w:spacing w:after="0" w:line="139" w:lineRule="exact"/>
        <w:rPr>
          <w:sz w:val="20"/>
          <w:szCs w:val="20"/>
          <w:color w:val="auto"/>
        </w:rPr>
      </w:pPr>
    </w:p>
    <w:p>
      <w:pPr>
        <w:ind w:left="420" w:right="60" w:hanging="223"/>
        <w:spacing w:after="0" w:line="239"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Test Prep prepares students for a broad range of admissions examinations, including the SAT, ACT, LSAT, GMAT, MCAT and GRE, that are required for admission to college and graduate schools, including medical, business and law schools.</w:t>
      </w:r>
    </w:p>
    <w:p>
      <w:pPr>
        <w:spacing w:after="0" w:line="114" w:lineRule="exact"/>
        <w:rPr>
          <w:rFonts w:ascii="Arial" w:cs="Arial" w:eastAsia="Arial" w:hAnsi="Arial"/>
          <w:sz w:val="18"/>
          <w:szCs w:val="18"/>
          <w:color w:val="auto"/>
        </w:rPr>
      </w:pPr>
    </w:p>
    <w:p>
      <w:pPr>
        <w:ind w:left="420" w:hanging="223"/>
        <w:spacing w:after="0" w:line="238"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Professional Licensing Exam Prep business prepares medical, nursing and law students for licensing examinations, including the USMLE, NCLEX and, under the Kaplan PMBR name, the multistate portion of the bar exam and the state specific portion of the bar exam in select states.</w:t>
      </w:r>
    </w:p>
    <w:p>
      <w:pPr>
        <w:spacing w:after="0" w:line="113" w:lineRule="exact"/>
        <w:rPr>
          <w:rFonts w:ascii="Arial" w:cs="Arial" w:eastAsia="Arial" w:hAnsi="Arial"/>
          <w:sz w:val="18"/>
          <w:szCs w:val="18"/>
          <w:color w:val="auto"/>
        </w:rPr>
      </w:pPr>
    </w:p>
    <w:p>
      <w:pPr>
        <w:ind w:left="420" w:right="140" w:hanging="223"/>
        <w:spacing w:after="0" w:line="238"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English-language business, which now operates under the name Kaplan Aspect, provides English language training, academic preparation programs and test preparation for English proficiency exams, such as the TOEFL, principally for students wishing to study and travel in English-speaking countries in North America, Europe or Australia/New Zealand.</w:t>
      </w:r>
    </w:p>
    <w:p>
      <w:pPr>
        <w:spacing w:after="0" w:line="113" w:lineRule="exact"/>
        <w:rPr>
          <w:rFonts w:ascii="Arial" w:cs="Arial" w:eastAsia="Arial" w:hAnsi="Arial"/>
          <w:sz w:val="18"/>
          <w:szCs w:val="18"/>
          <w:color w:val="auto"/>
        </w:rPr>
      </w:pPr>
    </w:p>
    <w:p>
      <w:pPr>
        <w:ind w:left="420" w:right="80" w:hanging="223"/>
        <w:spacing w:after="0" w:line="23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Kaplan K12 Learning Services develops and provides a range of programs and services to schools and school districts, including offering reading and math programs to help students who are performing below grade level improve fundamental skills; preparing students for state assessment tests and the SAT and ACT; and providing curriculum consulting, professional development and assessment services to support teaching and learning.</w:t>
      </w:r>
    </w:p>
    <w:p>
      <w:pPr>
        <w:spacing w:after="0" w:line="114" w:lineRule="exact"/>
        <w:rPr>
          <w:rFonts w:ascii="Arial" w:cs="Arial" w:eastAsia="Arial" w:hAnsi="Arial"/>
          <w:sz w:val="18"/>
          <w:szCs w:val="18"/>
          <w:color w:val="auto"/>
        </w:rPr>
      </w:pPr>
    </w:p>
    <w:p>
      <w:pPr>
        <w:ind w:left="420" w:right="480" w:hanging="223"/>
        <w:spacing w:after="0" w:line="239"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Kaplan Publishing publishes a variety of general trade and educational books in subject areas such as test preparation, business, real estate, law, medicine and nursing with more than 470 books in print at the end of 2007.</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Score! Educational Centers offer computer-based learning and individualized tutoring for children from pre-K through 10th grade.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Test Prep and Admissions accounted for 28% and 27%, respectively, of Kaplan’s operating revenue in 2007 and the first nine months of 2008.</w:t>
      </w:r>
    </w:p>
    <w:p>
      <w:pPr>
        <w:spacing w:after="0" w:line="105" w:lineRule="exact"/>
        <w:rPr>
          <w:sz w:val="20"/>
          <w:szCs w:val="20"/>
          <w:color w:val="auto"/>
        </w:rPr>
      </w:pPr>
    </w:p>
    <w:p>
      <w:pPr>
        <w:ind w:left="200" w:right="160"/>
        <w:spacing w:after="0" w:line="249" w:lineRule="auto"/>
        <w:rPr>
          <w:sz w:val="20"/>
          <w:szCs w:val="20"/>
          <w:color w:val="auto"/>
        </w:rPr>
      </w:pPr>
      <w:r>
        <w:rPr>
          <w:rFonts w:ascii="Arial" w:cs="Arial" w:eastAsia="Arial" w:hAnsi="Arial"/>
          <w:sz w:val="18"/>
          <w:szCs w:val="18"/>
          <w:b w:val="1"/>
          <w:bCs w:val="1"/>
          <w:color w:val="auto"/>
        </w:rPr>
        <w:t xml:space="preserve">Professional. </w:t>
      </w:r>
      <w:r>
        <w:rPr>
          <w:rFonts w:ascii="Arial" w:cs="Arial" w:eastAsia="Arial" w:hAnsi="Arial"/>
          <w:sz w:val="18"/>
          <w:szCs w:val="18"/>
          <w:color w:val="auto"/>
        </w:rPr>
        <w:t>In the United States, Kaplan Professional offers continuing education, certification, licensing, exam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development to corporations and to individuals seeking to advance their careers in a variety of disciplines. This division includes Kaplan Financial Education, a provider of continuing education and test preparation courses for</w:t>
      </w: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60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6609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financial services and insurance industry professionals; Kaplan Schweser, a provider of test preparation courses for the Chartered Financial Analyst, Financial Risk Manager, and Certified Public Accounting examinations; Kaplan Professional Schools, a provider of courses for real estate, financial services and home inspection licensing examinations, as well as continuing education in those areas; Kaplan Professional Publishing, which provides printed and online materials that help individuals satisfy state pre-licensing and continuing education requirements and prepare for state licensing examinations in the real estate, architecture, home inspection, engineering and construction industries; Kaplan IT, which offers online test preparation courses for technical certifications in the information technology industry, as well as training, software consultancy and related products to a broad range of industries; and Kaplan EduNeering, a provider of online regulatory compliance training and management systems, principally for businesses in the life sciences, healthcare, energy and food service industries.</w:t>
      </w:r>
    </w:p>
    <w:p>
      <w:pPr>
        <w:spacing w:after="0" w:line="79"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Internationally, Professional’s largest business is Kaplan Financial Limited, a U.K.-based provider of training and test preparation services for accounting and financial services professionals. Headquartered in London, Kaplan Financial has 25 training centers around the United Kingdom, as well as operations in Hong Kong, Shanghai and Singapore. Kaplan Financial also delivers a broad range of financial services education and professional development courses in Australia. Professional accounted for 22% and 20%, respectively, of Kaplan’s operating revenue in 2007 and the first nine months of 2008.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Media</w:t>
      </w:r>
    </w:p>
    <w:p>
      <w:pPr>
        <w:spacing w:after="0" w:line="13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Our diversified media operations consist of Newspaper Publishing; Television Broadcasting; Magazine Publishing; and Cable Television Operations. Our media operations accounted for 51% and 47%, respectively, of the Company’s operating revenue in 2007 and the first nine months of 2008.</w:t>
      </w:r>
    </w:p>
    <w:p>
      <w:pPr>
        <w:spacing w:after="0" w:line="78"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color w:val="auto"/>
        </w:rPr>
        <w:t xml:space="preserve">Newspaper publishing. </w:t>
      </w:r>
      <w:r>
        <w:rPr>
          <w:rFonts w:ascii="Arial" w:cs="Arial" w:eastAsia="Arial" w:hAnsi="Arial"/>
          <w:sz w:val="18"/>
          <w:szCs w:val="18"/>
          <w:color w:val="auto"/>
        </w:rPr>
        <w:t>Through one of our subsidiaries, we publish The Washington Post (the “Post”), which is the largest and most widely</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circulated morning daily and Sunday newspaper primarily distributed by home delivery in the Washington, D.C., metropolitan area, including large portions of Maryland and northern Virginia. The Washington Post is our flagship newspaper and the principal source of our Newspaper Publishing revenue. We also publish The Washington Post National Weekly Edition, a tabloid that contains selected articles and features from The Washington Post edited for a national audience. Another subsidiary of the Company publishes a weekday tabloid newspaper named Express, and Washingtonpost.Newsweek Interactive Company, LLC (“WPNI”) develops news and information products for electronic distribution. Since 1996, WPNI has produced washingtonpost.com, an Internet site that currently features the full editorial text of The Washington Post and most of The Post’s classified advertising, as well as original content created by WPNI’s staff, blogs written by Post reporters and others, interactive discussions hosted by Post reporters and outside subject experts, user-posted comments and content obtained from other sources. WPNI also produces the Newsweek website and in 2005, purchased Slate, an online magazine that was founded by Microsoft Corporation in 1996.</w:t>
      </w:r>
    </w:p>
    <w:p>
      <w:pPr>
        <w:spacing w:after="0" w:line="101" w:lineRule="exact"/>
        <w:rPr>
          <w:sz w:val="20"/>
          <w:szCs w:val="20"/>
          <w:color w:val="auto"/>
        </w:rPr>
      </w:pPr>
    </w:p>
    <w:p>
      <w:pPr>
        <w:jc w:val="both"/>
        <w:ind w:left="200" w:right="500"/>
        <w:spacing w:after="0" w:line="238" w:lineRule="auto"/>
        <w:rPr>
          <w:sz w:val="20"/>
          <w:szCs w:val="20"/>
          <w:color w:val="auto"/>
        </w:rPr>
      </w:pPr>
      <w:r>
        <w:rPr>
          <w:rFonts w:ascii="Arial" w:cs="Arial" w:eastAsia="Arial" w:hAnsi="Arial"/>
          <w:sz w:val="18"/>
          <w:szCs w:val="18"/>
          <w:color w:val="auto"/>
        </w:rPr>
        <w:t>Our Post–Newsweek Media, Inc. subsidiary publishes two weekly paid-circulation, three twice-weekly paid-circulation and 34 controlled-circulation weekly community newspapers. We also own The Daily Herald Company, publisher of The Herald in Everett, WA. We publish several free-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40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3401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circulation advertising periodicals that have little or no editorial content and are distributed in the greater Washington, D.C., metropolitan area using sidewalk distribution boxes. Another subsidiary of the Company publishes El Tiempo Latino, a weekly Spanish-language newspaper that is distributed free of charge in northern Virginia, suburban Maryland and Washington, D.C. Newspaper Publishing accounted for 42% and 39%, respectively, of the operating revenue of our media operations in 2007 and the first nine months of 2008.</w:t>
      </w:r>
    </w:p>
    <w:p>
      <w:pPr>
        <w:spacing w:after="0" w:line="79" w:lineRule="exact"/>
        <w:rPr>
          <w:sz w:val="20"/>
          <w:szCs w:val="20"/>
          <w:color w:val="auto"/>
        </w:rPr>
      </w:pPr>
    </w:p>
    <w:p>
      <w:pPr>
        <w:ind w:left="200" w:right="40"/>
        <w:spacing w:after="0" w:line="242"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Through subsidiaries, we own six VHF television stations located in Houston, TX; Detroit, MI; Miami, FL; Orlando,</w:t>
      </w:r>
      <w:r>
        <w:rPr>
          <w:rFonts w:ascii="Arial" w:cs="Arial" w:eastAsia="Arial" w:hAnsi="Arial"/>
          <w:sz w:val="18"/>
          <w:szCs w:val="18"/>
          <w:b w:val="1"/>
          <w:bCs w:val="1"/>
          <w:color w:val="auto"/>
        </w:rPr>
        <w:t xml:space="preserve"> </w:t>
      </w:r>
      <w:r>
        <w:rPr>
          <w:rFonts w:ascii="Arial" w:cs="Arial" w:eastAsia="Arial" w:hAnsi="Arial"/>
          <w:sz w:val="18"/>
          <w:szCs w:val="18"/>
          <w:color w:val="auto"/>
        </w:rPr>
        <w:t>FL; San Antonio, TX; and Jacksonville, FL; which are, respectively, the 10th, 11th, 16th, 19th, 37th and 49th largest broadcasting markets in the United States. Other than the Company’s Jacksonville station, WJXT, our television stations are affiliated with one or another of the major national networks. Television Broadcasting accounted for 16% and 15%, respectively, of the operating revenue of our media operations in 2007 and the first nine months of 2008.</w:t>
      </w:r>
    </w:p>
    <w:p>
      <w:pPr>
        <w:spacing w:after="0" w:line="77" w:lineRule="exact"/>
        <w:rPr>
          <w:sz w:val="20"/>
          <w:szCs w:val="20"/>
          <w:color w:val="auto"/>
        </w:rPr>
      </w:pPr>
    </w:p>
    <w:p>
      <w:pPr>
        <w:jc w:val="both"/>
        <w:ind w:left="200" w:right="140"/>
        <w:spacing w:after="0" w:line="249" w:lineRule="auto"/>
        <w:rPr>
          <w:sz w:val="20"/>
          <w:szCs w:val="20"/>
          <w:color w:val="auto"/>
        </w:rPr>
      </w:pPr>
      <w:r>
        <w:rPr>
          <w:rFonts w:ascii="Arial" w:cs="Arial" w:eastAsia="Arial" w:hAnsi="Arial"/>
          <w:sz w:val="18"/>
          <w:szCs w:val="18"/>
          <w:b w:val="1"/>
          <w:bCs w:val="1"/>
          <w:color w:val="auto"/>
        </w:rPr>
        <w:t xml:space="preserve">Magazine publishing. </w:t>
      </w:r>
      <w:r>
        <w:rPr>
          <w:rFonts w:ascii="Arial" w:cs="Arial" w:eastAsia="Arial" w:hAnsi="Arial"/>
          <w:sz w:val="18"/>
          <w:szCs w:val="18"/>
          <w:color w:val="auto"/>
        </w:rPr>
        <w:t>Newsweek is a weekly news magazine published both domestically and internationally by Newsweek, Inc.,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the Company. In gathering, reporting and writing news and other material for publication, Newsweek maintains news bureaus in eight U.S. and eleven foreign cities.</w:t>
      </w:r>
    </w:p>
    <w:p>
      <w:pPr>
        <w:spacing w:after="0" w:line="9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domestic edition of Newsweek includes more than 100 different geographic or demographic editions that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Magazine Publishing accounted for 13% and 11%, respectively, of the operating revenue of our media operations in 2007 and the first nine months of 2008.</w:t>
      </w:r>
    </w:p>
    <w:p>
      <w:pPr>
        <w:spacing w:after="0" w:line="81" w:lineRule="exact"/>
        <w:rPr>
          <w:sz w:val="20"/>
          <w:szCs w:val="20"/>
          <w:color w:val="auto"/>
        </w:rPr>
      </w:pPr>
    </w:p>
    <w:p>
      <w:pPr>
        <w:ind w:left="200" w:right="160"/>
        <w:spacing w:after="0" w:line="242" w:lineRule="auto"/>
        <w:rPr>
          <w:sz w:val="20"/>
          <w:szCs w:val="20"/>
          <w:color w:val="auto"/>
        </w:rPr>
      </w:pPr>
      <w:r>
        <w:rPr>
          <w:rFonts w:ascii="Arial" w:cs="Arial" w:eastAsia="Arial" w:hAnsi="Arial"/>
          <w:sz w:val="18"/>
          <w:szCs w:val="18"/>
          <w:b w:val="1"/>
          <w:bCs w:val="1"/>
          <w:color w:val="auto"/>
        </w:rPr>
        <w:t xml:space="preserve">Cable television operations. </w:t>
      </w:r>
      <w:r>
        <w:rPr>
          <w:rFonts w:ascii="Arial" w:cs="Arial" w:eastAsia="Arial" w:hAnsi="Arial"/>
          <w:sz w:val="18"/>
          <w:szCs w:val="18"/>
          <w:color w:val="auto"/>
        </w:rPr>
        <w:t>At the end of September 2008, we provided, through our Cable ONE subsidiary, cable service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701,700 basic video subscribers (representing about 51% of the 1,384,000 homes passed by the systems) and had in force approximately 224,200 subscriptions to digital video service, 368,600 subscriptions to cable modem service and 91,000 subscriptions to telephone service in the midwestern, western and southern states. Cable Television Operations accounted for 29% and 35%, respectively, of the operating revenue of our media operations in 2007 and the first nine months of 2008.</w:t>
      </w: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9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7294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429"/>
        </w:trPr>
        <w:tc>
          <w:tcPr>
            <w:tcW w:w="2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00" w:type="dxa"/>
            <w:vAlign w:val="bottom"/>
          </w:tcPr>
          <w:p>
            <w:pPr>
              <w:ind w:left="1460"/>
              <w:spacing w:after="0"/>
              <w:rPr>
                <w:sz w:val="20"/>
                <w:szCs w:val="20"/>
                <w:color w:val="auto"/>
              </w:rPr>
            </w:pPr>
            <w:r>
              <w:rPr>
                <w:rFonts w:ascii="Arial" w:cs="Arial" w:eastAsia="Arial" w:hAnsi="Arial"/>
                <w:sz w:val="32"/>
                <w:szCs w:val="32"/>
                <w:b w:val="1"/>
                <w:bCs w:val="1"/>
                <w:color w:val="auto"/>
              </w:rPr>
              <w:t>The offering</w:t>
            </w:r>
          </w:p>
        </w:tc>
      </w:tr>
      <w:tr>
        <w:trPr>
          <w:trHeight w:val="321"/>
        </w:trPr>
        <w:tc>
          <w:tcPr>
            <w:tcW w:w="24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The Washington Post Company</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$400,000,000 aggregate principal amount of 7.250% notes due 2019.</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The Notes will mature on February 1, 2019.</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7.250% per annum.</w:t>
            </w:r>
          </w:p>
        </w:tc>
      </w:tr>
      <w:tr>
        <w:trPr>
          <w:trHeight w:val="329"/>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Interest from the Notes will accrue from January 30, 2009 and will be payable on February 1 and</w:t>
            </w:r>
          </w:p>
        </w:tc>
      </w:tr>
      <w:tr>
        <w:trPr>
          <w:trHeight w:val="211"/>
        </w:trPr>
        <w:tc>
          <w:tcPr>
            <w:tcW w:w="2440" w:type="dxa"/>
            <w:vAlign w:val="bottom"/>
          </w:tcPr>
          <w:p>
            <w:pPr>
              <w:spacing w:after="0"/>
              <w:rPr>
                <w:sz w:val="18"/>
                <w:szCs w:val="18"/>
                <w:color w:val="auto"/>
              </w:rPr>
            </w:pP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August 1 of each year, beginning on August 1, 2009.</w:t>
            </w: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w w:val="98"/>
              </w:rPr>
              <w:t>Interest on the Notes will be paid to holders of record at the close of business on each January 15 and</w:t>
            </w:r>
          </w:p>
        </w:tc>
      </w:tr>
      <w:tr>
        <w:trPr>
          <w:trHeight w:val="211"/>
        </w:trPr>
        <w:tc>
          <w:tcPr>
            <w:tcW w:w="2440" w:type="dxa"/>
            <w:vAlign w:val="bottom"/>
          </w:tcPr>
          <w:p>
            <w:pPr>
              <w:spacing w:after="0"/>
              <w:rPr>
                <w:sz w:val="18"/>
                <w:szCs w:val="18"/>
                <w:color w:val="auto"/>
              </w:rPr>
            </w:pP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July 15 immediately preceding each interest payment date.</w:t>
            </w: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w w:val="97"/>
              </w:rPr>
              <w:t>The Notes will be our general unsecured and unsubordinated obligations and will rank equally in right of</w:t>
            </w:r>
          </w:p>
        </w:tc>
      </w:tr>
      <w:tr>
        <w:trPr>
          <w:trHeight w:val="211"/>
        </w:trPr>
        <w:tc>
          <w:tcPr>
            <w:tcW w:w="2440" w:type="dxa"/>
            <w:vAlign w:val="bottom"/>
          </w:tcPr>
          <w:p>
            <w:pPr>
              <w:spacing w:after="0"/>
              <w:rPr>
                <w:sz w:val="18"/>
                <w:szCs w:val="18"/>
                <w:color w:val="auto"/>
              </w:rPr>
            </w:pP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payment with all of our other existing and future unsecured and unsubordinated debt.</w:t>
            </w: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No prior market</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The Notes are new securities and there is currently no established trading market for the Notes.</w:t>
            </w:r>
          </w:p>
        </w:tc>
      </w:tr>
      <w:tr>
        <w:trPr>
          <w:trHeight w:val="203"/>
        </w:trPr>
        <w:tc>
          <w:tcPr>
            <w:tcW w:w="2440" w:type="dxa"/>
            <w:vAlign w:val="bottom"/>
          </w:tcPr>
          <w:p>
            <w:pPr>
              <w:spacing w:after="0"/>
              <w:rPr>
                <w:sz w:val="17"/>
                <w:szCs w:val="17"/>
                <w:color w:val="auto"/>
              </w:rPr>
            </w:pPr>
          </w:p>
        </w:tc>
        <w:tc>
          <w:tcPr>
            <w:tcW w:w="8600" w:type="dxa"/>
            <w:vAlign w:val="bottom"/>
            <w:gridSpan w:val="2"/>
          </w:tcPr>
          <w:p>
            <w:pPr>
              <w:ind w:left="540"/>
              <w:spacing w:after="0" w:line="202" w:lineRule="exact"/>
              <w:rPr>
                <w:sz w:val="20"/>
                <w:szCs w:val="20"/>
                <w:color w:val="auto"/>
              </w:rPr>
            </w:pPr>
            <w:r>
              <w:rPr>
                <w:rFonts w:ascii="Arial" w:cs="Arial" w:eastAsia="Arial" w:hAnsi="Arial"/>
                <w:sz w:val="18"/>
                <w:szCs w:val="18"/>
                <w:color w:val="auto"/>
                <w:w w:val="97"/>
              </w:rPr>
              <w:t>Although the underwriters have informed us that they intend to make a market in the Notes, they are not</w:t>
            </w:r>
          </w:p>
        </w:tc>
      </w:tr>
      <w:tr>
        <w:trPr>
          <w:trHeight w:val="203"/>
        </w:trPr>
        <w:tc>
          <w:tcPr>
            <w:tcW w:w="2440" w:type="dxa"/>
            <w:vAlign w:val="bottom"/>
          </w:tcPr>
          <w:p>
            <w:pPr>
              <w:spacing w:after="0"/>
              <w:rPr>
                <w:sz w:val="17"/>
                <w:szCs w:val="17"/>
                <w:color w:val="auto"/>
              </w:rPr>
            </w:pPr>
          </w:p>
        </w:tc>
        <w:tc>
          <w:tcPr>
            <w:tcW w:w="860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obligated to do so and they may discontinue market making activities at any time without notice.</w:t>
            </w:r>
          </w:p>
        </w:tc>
      </w:tr>
      <w:tr>
        <w:trPr>
          <w:trHeight w:val="211"/>
        </w:trPr>
        <w:tc>
          <w:tcPr>
            <w:tcW w:w="2440" w:type="dxa"/>
            <w:vAlign w:val="bottom"/>
          </w:tcPr>
          <w:p>
            <w:pPr>
              <w:spacing w:after="0"/>
              <w:rPr>
                <w:sz w:val="18"/>
                <w:szCs w:val="18"/>
                <w:color w:val="auto"/>
              </w:rPr>
            </w:pP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Accordingly, we cannot assure you that a liquid market for the Notes will develop or be maintained.</w:t>
            </w: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We may redeem the Notes at our option, at any time in whole or from time to time in part, at a</w:t>
            </w:r>
          </w:p>
        </w:tc>
      </w:tr>
      <w:tr>
        <w:trPr>
          <w:trHeight w:val="211"/>
        </w:trPr>
        <w:tc>
          <w:tcPr>
            <w:tcW w:w="2440" w:type="dxa"/>
            <w:vAlign w:val="bottom"/>
          </w:tcPr>
          <w:p>
            <w:pPr>
              <w:spacing w:after="0"/>
              <w:rPr>
                <w:sz w:val="18"/>
                <w:szCs w:val="18"/>
                <w:color w:val="auto"/>
              </w:rPr>
            </w:pPr>
          </w:p>
        </w:tc>
        <w:tc>
          <w:tcPr>
            <w:tcW w:w="8600" w:type="dxa"/>
            <w:vAlign w:val="bottom"/>
            <w:gridSpan w:val="2"/>
          </w:tcPr>
          <w:p>
            <w:pPr>
              <w:ind w:left="540"/>
              <w:spacing w:after="0"/>
              <w:rPr>
                <w:sz w:val="20"/>
                <w:szCs w:val="20"/>
                <w:color w:val="auto"/>
              </w:rPr>
            </w:pPr>
            <w:r>
              <w:rPr>
                <w:rFonts w:ascii="Arial" w:cs="Arial" w:eastAsia="Arial" w:hAnsi="Arial"/>
                <w:sz w:val="18"/>
                <w:szCs w:val="18"/>
                <w:color w:val="auto"/>
              </w:rPr>
              <w:t>redemption price equal to the greater of:</w:t>
            </w:r>
          </w:p>
        </w:tc>
      </w:tr>
      <w:tr>
        <w:trPr>
          <w:trHeight w:val="324"/>
        </w:trPr>
        <w:tc>
          <w:tcPr>
            <w:tcW w:w="2440" w:type="dxa"/>
            <w:vAlign w:val="bottom"/>
          </w:tcPr>
          <w:p>
            <w:pPr>
              <w:spacing w:after="0"/>
              <w:rPr>
                <w:sz w:val="24"/>
                <w:szCs w:val="24"/>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rPr>
              <w:t>•</w:t>
            </w:r>
          </w:p>
        </w:tc>
        <w:tc>
          <w:tcPr>
            <w:tcW w:w="7900" w:type="dxa"/>
            <w:vAlign w:val="bottom"/>
          </w:tcPr>
          <w:p>
            <w:pPr>
              <w:ind w:left="60"/>
              <w:spacing w:after="0"/>
              <w:rPr>
                <w:sz w:val="20"/>
                <w:szCs w:val="20"/>
                <w:color w:val="auto"/>
              </w:rPr>
            </w:pPr>
            <w:r>
              <w:rPr>
                <w:rFonts w:ascii="Arial" w:cs="Arial" w:eastAsia="Arial" w:hAnsi="Arial"/>
                <w:sz w:val="18"/>
                <w:szCs w:val="18"/>
                <w:color w:val="auto"/>
              </w:rPr>
              <w:t>100% of the principal amount of the Notes being redeemed; or</w:t>
            </w:r>
          </w:p>
        </w:tc>
      </w:tr>
      <w:tr>
        <w:trPr>
          <w:trHeight w:val="316"/>
        </w:trPr>
        <w:tc>
          <w:tcPr>
            <w:tcW w:w="2440" w:type="dxa"/>
            <w:vAlign w:val="bottom"/>
          </w:tcPr>
          <w:p>
            <w:pPr>
              <w:spacing w:after="0"/>
              <w:rPr>
                <w:sz w:val="24"/>
                <w:szCs w:val="24"/>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rPr>
              <w:t>•</w:t>
            </w:r>
          </w:p>
        </w:tc>
        <w:tc>
          <w:tcPr>
            <w:tcW w:w="7900" w:type="dxa"/>
            <w:vAlign w:val="bottom"/>
          </w:tcPr>
          <w:p>
            <w:pPr>
              <w:ind w:left="60"/>
              <w:spacing w:after="0"/>
              <w:rPr>
                <w:sz w:val="20"/>
                <w:szCs w:val="20"/>
                <w:color w:val="auto"/>
              </w:rPr>
            </w:pPr>
            <w:r>
              <w:rPr>
                <w:rFonts w:ascii="Arial" w:cs="Arial" w:eastAsia="Arial" w:hAnsi="Arial"/>
                <w:sz w:val="18"/>
                <w:szCs w:val="18"/>
                <w:color w:val="auto"/>
              </w:rPr>
              <w:t>as determined by the Quotation Agent, the sum of the present values of the remaining scheduled</w:t>
            </w:r>
          </w:p>
        </w:tc>
      </w:tr>
      <w:tr>
        <w:trPr>
          <w:trHeight w:val="203"/>
        </w:trPr>
        <w:tc>
          <w:tcPr>
            <w:tcW w:w="2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00" w:type="dxa"/>
            <w:vAlign w:val="bottom"/>
          </w:tcPr>
          <w:p>
            <w:pPr>
              <w:ind w:left="60"/>
              <w:spacing w:after="0" w:line="202" w:lineRule="exact"/>
              <w:rPr>
                <w:sz w:val="20"/>
                <w:szCs w:val="20"/>
                <w:color w:val="auto"/>
              </w:rPr>
            </w:pPr>
            <w:r>
              <w:rPr>
                <w:rFonts w:ascii="Arial" w:cs="Arial" w:eastAsia="Arial" w:hAnsi="Arial"/>
                <w:sz w:val="18"/>
                <w:szCs w:val="18"/>
                <w:color w:val="auto"/>
              </w:rPr>
              <w:t>payments of principal and interest on such Notes (not including any portion of any payments of</w:t>
            </w:r>
          </w:p>
        </w:tc>
      </w:tr>
      <w:tr>
        <w:trPr>
          <w:trHeight w:val="203"/>
        </w:trPr>
        <w:tc>
          <w:tcPr>
            <w:tcW w:w="2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00" w:type="dxa"/>
            <w:vAlign w:val="bottom"/>
          </w:tcPr>
          <w:p>
            <w:pPr>
              <w:ind w:left="60"/>
              <w:spacing w:after="0" w:line="202" w:lineRule="exact"/>
              <w:rPr>
                <w:sz w:val="20"/>
                <w:szCs w:val="20"/>
                <w:color w:val="auto"/>
              </w:rPr>
            </w:pPr>
            <w:r>
              <w:rPr>
                <w:rFonts w:ascii="Arial" w:cs="Arial" w:eastAsia="Arial" w:hAnsi="Arial"/>
                <w:sz w:val="18"/>
                <w:szCs w:val="18"/>
                <w:color w:val="auto"/>
              </w:rPr>
              <w:t>interest accrued as of the redemption date) discounted to the redemption date on a semi-annual</w:t>
            </w:r>
          </w:p>
        </w:tc>
      </w:tr>
      <w:tr>
        <w:trPr>
          <w:trHeight w:val="211"/>
        </w:trPr>
        <w:tc>
          <w:tcPr>
            <w:tcW w:w="2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basis at the Adjusted Treasury Rate plus 50 basis points.</w:t>
            </w:r>
          </w:p>
        </w:tc>
      </w:tr>
    </w:tbl>
    <w:p>
      <w:pPr>
        <w:spacing w:after="0" w:line="100" w:lineRule="exact"/>
        <w:rPr>
          <w:sz w:val="20"/>
          <w:szCs w:val="20"/>
          <w:color w:val="auto"/>
        </w:rPr>
      </w:pPr>
    </w:p>
    <w:p>
      <w:pPr>
        <w:ind w:left="3180" w:right="260"/>
        <w:spacing w:after="0" w:line="239" w:lineRule="auto"/>
        <w:rPr>
          <w:sz w:val="20"/>
          <w:szCs w:val="20"/>
          <w:color w:val="auto"/>
        </w:rPr>
      </w:pPr>
      <w:r>
        <w:rPr>
          <w:rFonts w:ascii="Arial" w:cs="Arial" w:eastAsia="Arial" w:hAnsi="Arial"/>
          <w:sz w:val="18"/>
          <w:szCs w:val="18"/>
          <w:color w:val="auto"/>
        </w:rPr>
        <w:t>We will also pay the accrued and unpaid interest on the Notes to the redemption date. See “Description of Notes—Optional Redemption.”</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to repurchase upon change of</w:t>
      </w:r>
      <w:r>
        <w:rPr>
          <w:rFonts w:ascii="Arial" w:cs="Arial" w:eastAsia="Arial" w:hAnsi="Arial"/>
          <w:sz w:val="18"/>
          <w:szCs w:val="18"/>
          <w:color w:val="auto"/>
        </w:rPr>
        <w:t>Upon the occurrence of a “Change of Control Repurchase Event” (as defined herein), unless we have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40" w:type="dxa"/>
            <w:vAlign w:val="bottom"/>
          </w:tcPr>
          <w:p>
            <w:pPr>
              <w:ind w:left="200"/>
              <w:spacing w:after="0"/>
              <w:rPr>
                <w:sz w:val="20"/>
                <w:szCs w:val="20"/>
                <w:color w:val="auto"/>
              </w:rPr>
            </w:pPr>
            <w:r>
              <w:rPr>
                <w:rFonts w:ascii="Arial" w:cs="Arial" w:eastAsia="Arial" w:hAnsi="Arial"/>
                <w:sz w:val="18"/>
                <w:szCs w:val="18"/>
                <w:b w:val="1"/>
                <w:bCs w:val="1"/>
                <w:color w:val="auto"/>
              </w:rPr>
              <w:t>control repurchase event</w:t>
            </w:r>
          </w:p>
        </w:tc>
        <w:tc>
          <w:tcPr>
            <w:tcW w:w="8720" w:type="dxa"/>
            <w:vAlign w:val="bottom"/>
          </w:tcPr>
          <w:p>
            <w:pPr>
              <w:ind w:left="440"/>
              <w:spacing w:after="0"/>
              <w:rPr>
                <w:sz w:val="20"/>
                <w:szCs w:val="20"/>
                <w:color w:val="auto"/>
              </w:rPr>
            </w:pPr>
            <w:r>
              <w:rPr>
                <w:rFonts w:ascii="Arial" w:cs="Arial" w:eastAsia="Arial" w:hAnsi="Arial"/>
                <w:sz w:val="18"/>
                <w:szCs w:val="18"/>
                <w:color w:val="auto"/>
              </w:rPr>
              <w:t>exercised our right to redeem the Notes, we will be required to make an offer to each holder of Notes</w:t>
            </w:r>
          </w:p>
        </w:tc>
      </w:tr>
      <w:tr>
        <w:trPr>
          <w:trHeight w:val="139"/>
        </w:trPr>
        <w:tc>
          <w:tcPr>
            <w:tcW w:w="2740" w:type="dxa"/>
            <w:vAlign w:val="bottom"/>
            <w:tcBorders>
              <w:bottom w:val="single" w:sz="8" w:color="auto"/>
            </w:tcBorders>
          </w:tcPr>
          <w:p>
            <w:pPr>
              <w:spacing w:after="0"/>
              <w:rPr>
                <w:sz w:val="12"/>
                <w:szCs w:val="12"/>
                <w:color w:val="auto"/>
              </w:rPr>
            </w:pPr>
          </w:p>
        </w:tc>
        <w:tc>
          <w:tcPr>
            <w:tcW w:w="8720" w:type="dxa"/>
            <w:vAlign w:val="bottom"/>
            <w:tcBorders>
              <w:bottom w:val="single" w:sz="8" w:color="auto"/>
            </w:tcBorders>
          </w:tcPr>
          <w:p>
            <w:pPr>
              <w:spacing w:after="0"/>
              <w:rPr>
                <w:sz w:val="12"/>
                <w:szCs w:val="12"/>
                <w:color w:val="auto"/>
              </w:rPr>
            </w:pPr>
          </w:p>
        </w:tc>
      </w:tr>
      <w:tr>
        <w:trPr>
          <w:trHeight w:val="359"/>
        </w:trPr>
        <w:tc>
          <w:tcPr>
            <w:tcW w:w="2740" w:type="dxa"/>
            <w:vAlign w:val="bottom"/>
          </w:tcPr>
          <w:p>
            <w:pPr>
              <w:spacing w:after="0"/>
              <w:rPr>
                <w:sz w:val="24"/>
                <w:szCs w:val="24"/>
                <w:color w:val="auto"/>
              </w:rPr>
            </w:pPr>
          </w:p>
        </w:tc>
        <w:tc>
          <w:tcPr>
            <w:tcW w:w="8720" w:type="dxa"/>
            <w:vAlign w:val="bottom"/>
          </w:tcPr>
          <w:p>
            <w:pPr>
              <w:ind w:left="28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2440" w:type="dxa"/>
            <w:vAlign w:val="bottom"/>
            <w:tcBorders>
              <w:top w:val="single" w:sz="8" w:color="auto"/>
              <w:left w:val="single" w:sz="8" w:color="auto"/>
            </w:tcBorders>
          </w:tcPr>
          <w:p>
            <w:pPr>
              <w:spacing w:after="0"/>
              <w:rPr>
                <w:sz w:val="24"/>
                <w:szCs w:val="24"/>
                <w:color w:val="auto"/>
              </w:rPr>
            </w:pPr>
          </w:p>
        </w:tc>
        <w:tc>
          <w:tcPr>
            <w:tcW w:w="90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to repurchase all or any part (equal to $2,000 and any integral multiples of $1,000 in excess thereof) of</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that holder’s Notes at a repurchase price in cash equal to 101% of the principal amount, plus any</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accrued and unpaid interest to the date of repurchase. See “Description of Notes—Change of Control</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Repurchase Event.”</w:t>
            </w:r>
          </w:p>
        </w:tc>
      </w:tr>
      <w:tr>
        <w:trPr>
          <w:trHeight w:val="329"/>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Covenants</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indenture pursuant to which the Notes will be issued contains covenants that, among other things,</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limit our ability and the ability of our Restricted Subsidiaries (as defined therein) to secure indebtedness</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with a security interest on certain property or stock or engage in certain Sale and Leaseback</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Transactions (as defined therein) with respect to certain properties. See “Description of the Debt</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Securities—Certain Covenants of the Company” in the accompanying prospectus.</w:t>
            </w:r>
          </w:p>
        </w:tc>
      </w:tr>
      <w:tr>
        <w:trPr>
          <w:trHeight w:val="316"/>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Use of proceeds</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expect to use the net proceeds from the sale of the Notes for general corporate purposes, including</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repayment of existing indebtedness. See “Use of Proceeds.”</w:t>
            </w:r>
          </w:p>
        </w:tc>
      </w:tr>
      <w:tr>
        <w:trPr>
          <w:trHeight w:val="316"/>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Further issuances</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may from time to time, without notice to or the consent of the holders of the Notes, create and issue</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additional debt securities having the same terms (except for issue date and issue price) and ranking</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equally and ratably with the Notes, in all respects, as described under “Description of Notes.”</w:t>
            </w:r>
          </w:p>
        </w:tc>
      </w:tr>
      <w:tr>
        <w:trPr>
          <w:trHeight w:val="324"/>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Trustee</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Bank of New York Mellon Trust Company, N.A.</w:t>
            </w:r>
          </w:p>
        </w:tc>
      </w:tr>
      <w:tr>
        <w:trPr>
          <w:trHeight w:val="338"/>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Governing law</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State of New York</w:t>
            </w:r>
          </w:p>
        </w:tc>
      </w:tr>
      <w:tr>
        <w:trPr>
          <w:trHeight w:val="161"/>
        </w:trPr>
        <w:tc>
          <w:tcPr>
            <w:tcW w:w="2440" w:type="dxa"/>
            <w:vAlign w:val="bottom"/>
            <w:tcBorders>
              <w:left w:val="single" w:sz="8" w:color="auto"/>
              <w:bottom w:val="single" w:sz="8" w:color="auto"/>
            </w:tcBorders>
          </w:tcPr>
          <w:p>
            <w:pPr>
              <w:spacing w:after="0"/>
              <w:rPr>
                <w:sz w:val="13"/>
                <w:szCs w:val="13"/>
                <w:color w:val="auto"/>
              </w:rPr>
            </w:pPr>
          </w:p>
        </w:tc>
        <w:tc>
          <w:tcPr>
            <w:tcW w:w="9020" w:type="dxa"/>
            <w:vAlign w:val="bottom"/>
            <w:tcBorders>
              <w:bottom w:val="single" w:sz="8" w:color="auto"/>
              <w:right w:val="single" w:sz="8" w:color="auto"/>
            </w:tcBorders>
          </w:tcPr>
          <w:p>
            <w:pPr>
              <w:spacing w:after="0"/>
              <w:rPr>
                <w:sz w:val="13"/>
                <w:szCs w:val="13"/>
                <w:color w:val="auto"/>
              </w:rPr>
            </w:pPr>
          </w:p>
        </w:tc>
      </w:tr>
      <w:tr>
        <w:trPr>
          <w:trHeight w:val="359"/>
        </w:trPr>
        <w:tc>
          <w:tcPr>
            <w:tcW w:w="2440" w:type="dxa"/>
            <w:vAlign w:val="bottom"/>
          </w:tcPr>
          <w:p>
            <w:pPr>
              <w:spacing w:after="0"/>
              <w:rPr>
                <w:sz w:val="24"/>
                <w:szCs w:val="24"/>
                <w:color w:val="auto"/>
              </w:rPr>
            </w:pPr>
          </w:p>
        </w:tc>
        <w:tc>
          <w:tcPr>
            <w:tcW w:w="9020" w:type="dxa"/>
            <w:vAlign w:val="bottom"/>
          </w:tcPr>
          <w:p>
            <w:pPr>
              <w:ind w:left="314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31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5319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Summary historical consolidated financial data</w:t>
      </w:r>
    </w:p>
    <w:p>
      <w:pPr>
        <w:spacing w:after="0" w:line="158" w:lineRule="exact"/>
        <w:rPr>
          <w:sz w:val="20"/>
          <w:szCs w:val="20"/>
          <w:color w:val="auto"/>
        </w:rPr>
      </w:pPr>
    </w:p>
    <w:p>
      <w:pPr>
        <w:ind w:left="200" w:right="220"/>
        <w:spacing w:after="0" w:line="235" w:lineRule="auto"/>
        <w:rPr>
          <w:sz w:val="20"/>
          <w:szCs w:val="20"/>
          <w:color w:val="auto"/>
        </w:rPr>
      </w:pPr>
      <w:r>
        <w:rPr>
          <w:rFonts w:ascii="Arial" w:cs="Arial" w:eastAsia="Arial" w:hAnsi="Arial"/>
          <w:sz w:val="18"/>
          <w:szCs w:val="18"/>
          <w:color w:val="auto"/>
        </w:rPr>
        <w:t>The summary consolidated historical financial data presented below (1) for each of the three fiscal years in the period ended December 30, 2007 are derived from our consolidated financial statements, which have been audited by PricewaterhouseCoopers LLP, an independent registered public accounting firm, and (2) as of September 28, 2008 and September 30, 2007 and for thirty-nine weeks ended September 28, 2008 and September 30, 2007, are derived from our unaudited consolidated financial statements. You should read this table along with our annual report on Form 10-K for our fiscal year ended December 30, 2007 and our quarterly report on Form 10-Q for the fiscal quarter ended September 28, 2008. Our unaudited condensed consolidated financial statements include all adjustments necessary for a fair presentation of such financial statements. Except as otherwise disclosed in our public filings, such adjustments are of a normal recurring nature. In the opinion of management, our interim financial statements have been prepared on the same basis as our audited consolidated financial statements. Interim results are not necessarily indicative of results of operations for the full year.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statement of operations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spacing w:after="0"/>
              <w:rPr>
                <w:sz w:val="19"/>
                <w:szCs w:val="19"/>
                <w:color w:val="auto"/>
              </w:rPr>
            </w:pPr>
          </w:p>
        </w:tc>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 ended</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4180" w:type="dxa"/>
            <w:vAlign w:val="bottom"/>
            <w:vMerge w:val="continue"/>
          </w:tcPr>
          <w:p>
            <w:pPr>
              <w:spacing w:after="0"/>
              <w:rPr>
                <w:sz w:val="15"/>
                <w:szCs w:val="15"/>
                <w:color w:val="auto"/>
              </w:rPr>
            </w:pPr>
          </w:p>
        </w:tc>
        <w:tc>
          <w:tcPr>
            <w:tcW w:w="11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w w:val="95"/>
              </w:rPr>
              <w:t>December 30,</w:t>
            </w:r>
          </w:p>
        </w:tc>
        <w:tc>
          <w:tcPr>
            <w:tcW w:w="1620" w:type="dxa"/>
            <w:vAlign w:val="bottom"/>
            <w:tcBorders>
              <w:top w:val="single" w:sz="8" w:color="auto"/>
            </w:tcBorders>
            <w:gridSpan w:val="2"/>
          </w:tcPr>
          <w:p>
            <w:pPr>
              <w:jc w:val="right"/>
              <w:ind w:right="72"/>
              <w:spacing w:after="0" w:line="177" w:lineRule="exact"/>
              <w:rPr>
                <w:sz w:val="20"/>
                <w:szCs w:val="20"/>
                <w:color w:val="auto"/>
              </w:rPr>
            </w:pPr>
            <w:r>
              <w:rPr>
                <w:rFonts w:ascii="Arial" w:cs="Arial" w:eastAsia="Arial" w:hAnsi="Arial"/>
                <w:sz w:val="18"/>
                <w:szCs w:val="18"/>
                <w:b w:val="1"/>
                <w:bCs w:val="1"/>
                <w:color w:val="auto"/>
              </w:rPr>
              <w:t>December 31,</w:t>
            </w:r>
          </w:p>
        </w:tc>
        <w:tc>
          <w:tcPr>
            <w:tcW w:w="1060" w:type="dxa"/>
            <w:vAlign w:val="bottom"/>
            <w:tcBorders>
              <w:top w:val="single" w:sz="8" w:color="auto"/>
            </w:tcBorders>
            <w:gridSpan w:val="2"/>
          </w:tcPr>
          <w:p>
            <w:pPr>
              <w:ind w:left="180"/>
              <w:spacing w:after="0" w:line="177" w:lineRule="exact"/>
              <w:rPr>
                <w:sz w:val="20"/>
                <w:szCs w:val="20"/>
                <w:color w:val="auto"/>
              </w:rPr>
            </w:pPr>
            <w:r>
              <w:rPr>
                <w:rFonts w:ascii="Arial" w:cs="Arial" w:eastAsia="Arial" w:hAnsi="Arial"/>
                <w:sz w:val="18"/>
                <w:szCs w:val="18"/>
                <w:b w:val="1"/>
                <w:bCs w:val="1"/>
                <w:color w:val="auto"/>
                <w:w w:val="96"/>
              </w:rPr>
              <w:t>January 1,</w:t>
            </w:r>
          </w:p>
        </w:tc>
        <w:tc>
          <w:tcPr>
            <w:tcW w:w="300" w:type="dxa"/>
            <w:vAlign w:val="bottom"/>
          </w:tcPr>
          <w:p>
            <w:pPr>
              <w:spacing w:after="0"/>
              <w:rPr>
                <w:sz w:val="15"/>
                <w:szCs w:val="15"/>
                <w:color w:val="auto"/>
              </w:rPr>
            </w:pPr>
          </w:p>
        </w:tc>
        <w:tc>
          <w:tcPr>
            <w:tcW w:w="1380" w:type="dxa"/>
            <w:vAlign w:val="bottom"/>
            <w:tcBorders>
              <w:top w:val="single" w:sz="8" w:color="auto"/>
            </w:tcBorders>
            <w:gridSpan w:val="2"/>
          </w:tcPr>
          <w:p>
            <w:pPr>
              <w:jc w:val="right"/>
              <w:ind w:right="72"/>
              <w:spacing w:after="0" w:line="177" w:lineRule="exact"/>
              <w:rPr>
                <w:sz w:val="20"/>
                <w:szCs w:val="20"/>
                <w:color w:val="auto"/>
              </w:rPr>
            </w:pPr>
            <w:r>
              <w:rPr>
                <w:rFonts w:ascii="Arial" w:cs="Arial" w:eastAsia="Arial" w:hAnsi="Arial"/>
                <w:sz w:val="18"/>
                <w:szCs w:val="18"/>
                <w:b w:val="1"/>
                <w:bCs w:val="1"/>
                <w:color w:val="auto"/>
                <w:w w:val="97"/>
              </w:rPr>
              <w:t>September 28,</w:t>
            </w:r>
          </w:p>
        </w:tc>
        <w:tc>
          <w:tcPr>
            <w:tcW w:w="13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share data)</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68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5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41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Operating revenues</w:t>
            </w: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Education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2,030,889</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1,684,141</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1,412,394</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1,722,459</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1,493,863</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Advertising</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1,234,643</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4"/>
              </w:rPr>
              <w:t>1,358,739</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1,317,484</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797,900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893,352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Circulation and subscriber</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817,807</w:t>
            </w:r>
          </w:p>
        </w:tc>
        <w:tc>
          <w:tcPr>
            <w:tcW w:w="6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772,250</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740,004</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669,008</w:t>
            </w:r>
          </w:p>
        </w:tc>
        <w:tc>
          <w:tcPr>
            <w:tcW w:w="5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602,423</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97,067</w:t>
            </w:r>
          </w:p>
        </w:tc>
        <w:tc>
          <w:tcPr>
            <w:tcW w:w="6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89,797</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84,005</w:t>
            </w: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108,648</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65,247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4,180,406</w:t>
            </w:r>
          </w:p>
        </w:tc>
        <w:tc>
          <w:tcPr>
            <w:tcW w:w="6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3,904,927</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3,553,887</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3,298,015</w:t>
            </w:r>
          </w:p>
        </w:tc>
        <w:tc>
          <w:tcPr>
            <w:tcW w:w="5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3,054,885</w:t>
            </w:r>
          </w:p>
        </w:tc>
        <w:tc>
          <w:tcPr>
            <w:tcW w:w="0" w:type="dxa"/>
            <w:vAlign w:val="bottom"/>
          </w:tcPr>
          <w:p>
            <w:pPr>
              <w:spacing w:after="0"/>
              <w:rPr>
                <w:sz w:val="1"/>
                <w:szCs w:val="1"/>
                <w:color w:val="auto"/>
              </w:rPr>
            </w:pPr>
          </w:p>
        </w:tc>
      </w:tr>
      <w:tr>
        <w:trPr>
          <w:trHeight w:val="75"/>
        </w:trPr>
        <w:tc>
          <w:tcPr>
            <w:tcW w:w="200" w:type="dxa"/>
            <w:vAlign w:val="bottom"/>
          </w:tcPr>
          <w:p>
            <w:pPr>
              <w:spacing w:after="0"/>
              <w:rPr>
                <w:sz w:val="6"/>
                <w:szCs w:val="6"/>
                <w:color w:val="auto"/>
              </w:rPr>
            </w:pPr>
          </w:p>
        </w:tc>
        <w:tc>
          <w:tcPr>
            <w:tcW w:w="418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Operating</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1,882,984</w:t>
            </w:r>
          </w:p>
        </w:tc>
        <w:tc>
          <w:tcPr>
            <w:tcW w:w="6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1,738,918</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1,618,231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1,515,253</w:t>
            </w:r>
          </w:p>
        </w:tc>
        <w:tc>
          <w:tcPr>
            <w:tcW w:w="5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1,382,641</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1,581,596</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4"/>
              </w:rPr>
              <w:t>1,484,003</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1,222,721</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4"/>
              </w:rPr>
              <w:t>1,399,853</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1,170,459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221,239</w:t>
            </w:r>
          </w:p>
        </w:tc>
        <w:tc>
          <w:tcPr>
            <w:tcW w:w="6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205,295</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190,543</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195,463</w:t>
            </w:r>
          </w:p>
        </w:tc>
        <w:tc>
          <w:tcPr>
            <w:tcW w:w="5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163,231</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Amortization of intangible assets and goodwill</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1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impairment charge</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17,571</w:t>
            </w:r>
          </w:p>
        </w:tc>
        <w:tc>
          <w:tcPr>
            <w:tcW w:w="6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16,907</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7,478</w:t>
            </w: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75,494</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10,833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3,703,390</w:t>
            </w:r>
          </w:p>
        </w:tc>
        <w:tc>
          <w:tcPr>
            <w:tcW w:w="6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3,445,123</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3,038,973</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3,186,063</w:t>
            </w:r>
          </w:p>
        </w:tc>
        <w:tc>
          <w:tcPr>
            <w:tcW w:w="5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2,727,164</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477,016</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459,804</w:t>
            </w:r>
          </w:p>
        </w:tc>
        <w:tc>
          <w:tcPr>
            <w:tcW w:w="2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514,914</w:t>
            </w:r>
          </w:p>
        </w:tc>
        <w:tc>
          <w:tcPr>
            <w:tcW w:w="74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111,952</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S-7</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00" w:type="dxa"/>
            <w:vAlign w:val="bottom"/>
            <w:tcBorders>
              <w:top w:val="single" w:sz="8" w:color="auto"/>
              <w:left w:val="single" w:sz="8" w:color="auto"/>
            </w:tcBorders>
          </w:tcPr>
          <w:p>
            <w:pPr>
              <w:spacing w:after="0"/>
              <w:rPr>
                <w:sz w:val="17"/>
                <w:szCs w:val="17"/>
                <w:color w:val="auto"/>
              </w:rPr>
            </w:pPr>
          </w:p>
        </w:tc>
        <w:tc>
          <w:tcPr>
            <w:tcW w:w="34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19"/>
                <w:szCs w:val="19"/>
                <w:color w:val="auto"/>
              </w:rPr>
            </w:pPr>
          </w:p>
        </w:tc>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8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Fiscal year ended</w:t>
            </w:r>
          </w:p>
        </w:tc>
        <w:tc>
          <w:tcPr>
            <w:tcW w:w="580" w:type="dxa"/>
            <w:vAlign w:val="bottom"/>
          </w:tcPr>
          <w:p>
            <w:pPr>
              <w:spacing w:after="0"/>
              <w:rPr>
                <w:sz w:val="19"/>
                <w:szCs w:val="19"/>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Thirty-nine weeks ended</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0" w:type="dxa"/>
            <w:vAlign w:val="bottom"/>
            <w:tcBorders>
              <w:left w:val="single" w:sz="8" w:color="auto"/>
            </w:tcBorders>
          </w:tcPr>
          <w:p>
            <w:pPr>
              <w:spacing w:after="0"/>
              <w:rPr>
                <w:sz w:val="15"/>
                <w:szCs w:val="15"/>
                <w:color w:val="auto"/>
              </w:rPr>
            </w:pPr>
          </w:p>
        </w:tc>
        <w:tc>
          <w:tcPr>
            <w:tcW w:w="3460" w:type="dxa"/>
            <w:vAlign w:val="bottom"/>
            <w:vMerge w:val="continue"/>
          </w:tcPr>
          <w:p>
            <w:pPr>
              <w:spacing w:after="0"/>
              <w:rPr>
                <w:sz w:val="15"/>
                <w:szCs w:val="15"/>
                <w:color w:val="auto"/>
              </w:rPr>
            </w:pPr>
          </w:p>
        </w:tc>
        <w:tc>
          <w:tcPr>
            <w:tcW w:w="144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w w:val="97"/>
              </w:rPr>
              <w:t>December 30,</w:t>
            </w:r>
          </w:p>
        </w:tc>
        <w:tc>
          <w:tcPr>
            <w:tcW w:w="164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rPr>
              <w:t>December 31,</w:t>
            </w:r>
          </w:p>
        </w:tc>
        <w:tc>
          <w:tcPr>
            <w:tcW w:w="10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January 1,</w:t>
            </w:r>
          </w:p>
        </w:tc>
        <w:tc>
          <w:tcPr>
            <w:tcW w:w="480" w:type="dxa"/>
            <w:vAlign w:val="bottom"/>
          </w:tcPr>
          <w:p>
            <w:pPr>
              <w:spacing w:after="0"/>
              <w:rPr>
                <w:sz w:val="15"/>
                <w:szCs w:val="15"/>
                <w:color w:val="auto"/>
              </w:rPr>
            </w:pPr>
          </w:p>
        </w:tc>
        <w:tc>
          <w:tcPr>
            <w:tcW w:w="148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w w:val="95"/>
              </w:rPr>
              <w:t>September 28,</w:t>
            </w:r>
          </w:p>
        </w:tc>
        <w:tc>
          <w:tcPr>
            <w:tcW w:w="14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share data)</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2006</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w w:val="95"/>
              </w:rPr>
              <w:t>477,016</w:t>
            </w:r>
          </w:p>
        </w:tc>
        <w:tc>
          <w:tcPr>
            <w:tcW w:w="7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w w:val="95"/>
              </w:rPr>
              <w:t>459,804</w:t>
            </w:r>
          </w:p>
        </w:tc>
        <w:tc>
          <w:tcPr>
            <w:tcW w:w="4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w w:val="95"/>
              </w:rPr>
              <w:t>514,914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w w:val="92"/>
              </w:rPr>
              <w:t>111,952</w:t>
            </w:r>
          </w:p>
        </w:tc>
        <w:tc>
          <w:tcPr>
            <w:tcW w:w="7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95"/>
              </w:rPr>
              <w:t>327,721</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0" w:type="dxa"/>
            <w:vAlign w:val="bottom"/>
            <w:tcBorders>
              <w:left w:val="single" w:sz="8" w:color="auto"/>
            </w:tcBorders>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Equity in (losses) earnings of</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affiliates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5,975</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790</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(881)</w:t>
            </w: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(9,505)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8,326</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7"/>
                <w:szCs w:val="17"/>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11,338</w:t>
            </w:r>
          </w:p>
        </w:tc>
        <w:tc>
          <w:tcPr>
            <w:tcW w:w="720" w:type="dxa"/>
            <w:vAlign w:val="bottom"/>
          </w:tcPr>
          <w:p>
            <w:pPr>
              <w:spacing w:after="0"/>
              <w:rPr>
                <w:sz w:val="17"/>
                <w:szCs w:val="17"/>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10,431</w:t>
            </w:r>
          </w:p>
        </w:tc>
        <w:tc>
          <w:tcPr>
            <w:tcW w:w="4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4,555</w:t>
            </w:r>
          </w:p>
        </w:tc>
        <w:tc>
          <w:tcPr>
            <w:tcW w:w="7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8,992</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(24,046)</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(25,343)</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(26,754)</w:t>
            </w: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(19,514)</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(18,098)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Other (expense) income, net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10,824</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73,452</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8,980</w:t>
            </w: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w w:val="98"/>
              </w:rPr>
              <w:t>(14,193)</w:t>
            </w: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15,267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481,107</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519,134</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499,644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73,295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342,208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5"/>
              </w:rPr>
              <w:t>192,500</w:t>
            </w:r>
          </w:p>
        </w:tc>
        <w:tc>
          <w:tcPr>
            <w:tcW w:w="720" w:type="dxa"/>
            <w:vAlign w:val="bottom"/>
          </w:tcPr>
          <w:p>
            <w:pPr>
              <w:spacing w:after="0"/>
              <w:rPr>
                <w:sz w:val="18"/>
                <w:szCs w:val="18"/>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5"/>
              </w:rPr>
              <w:t>189,600</w:t>
            </w:r>
          </w:p>
        </w:tc>
        <w:tc>
          <w:tcPr>
            <w:tcW w:w="44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185,300</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26,400</w:t>
            </w:r>
          </w:p>
        </w:tc>
        <w:tc>
          <w:tcPr>
            <w:tcW w:w="78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136,500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Before Cumulative Effect of</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Change in Accounting Principle</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288,607</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329,534</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314,344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46,895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205,708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tcPr>
          <w:p>
            <w:pPr>
              <w:spacing w:after="0" w:line="206" w:lineRule="exact"/>
              <w:rPr>
                <w:sz w:val="20"/>
                <w:szCs w:val="20"/>
                <w:color w:val="auto"/>
              </w:rPr>
            </w:pPr>
            <w:r>
              <w:rPr>
                <w:rFonts w:ascii="Arial" w:cs="Arial" w:eastAsia="Arial" w:hAnsi="Arial"/>
                <w:sz w:val="18"/>
                <w:szCs w:val="18"/>
                <w:color w:val="auto"/>
              </w:rPr>
              <w:t>Cumulative Effect of Change in Method</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of Accounting for Share-based</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tcPr>
          <w:p>
            <w:pPr>
              <w:ind w:left="220"/>
              <w:spacing w:after="0" w:line="200" w:lineRule="exact"/>
              <w:rPr>
                <w:sz w:val="20"/>
                <w:szCs w:val="20"/>
                <w:color w:val="auto"/>
              </w:rPr>
            </w:pPr>
            <w:r>
              <w:rPr>
                <w:rFonts w:ascii="Arial" w:cs="Arial" w:eastAsia="Arial" w:hAnsi="Arial"/>
                <w:sz w:val="18"/>
                <w:szCs w:val="18"/>
                <w:color w:val="auto"/>
              </w:rPr>
              <w:t>Payments, Net of Taxes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(5,075)</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480"/>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288,607</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324,459</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314,344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46,895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205,708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Redeemable preferred stock dividends</w:t>
            </w:r>
          </w:p>
        </w:tc>
        <w:tc>
          <w:tcPr>
            <w:tcW w:w="520" w:type="dxa"/>
            <w:vAlign w:val="bottom"/>
          </w:tcPr>
          <w:p>
            <w:pPr>
              <w:spacing w:after="0"/>
              <w:rPr>
                <w:sz w:val="18"/>
                <w:szCs w:val="18"/>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(952)</w:t>
            </w:r>
          </w:p>
        </w:tc>
        <w:tc>
          <w:tcPr>
            <w:tcW w:w="720" w:type="dxa"/>
            <w:vAlign w:val="bottom"/>
          </w:tcPr>
          <w:p>
            <w:pPr>
              <w:spacing w:after="0"/>
              <w:rPr>
                <w:sz w:val="18"/>
                <w:szCs w:val="18"/>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(981)</w:t>
            </w:r>
          </w:p>
        </w:tc>
        <w:tc>
          <w:tcPr>
            <w:tcW w:w="440" w:type="dxa"/>
            <w:vAlign w:val="bottom"/>
          </w:tcPr>
          <w:p>
            <w:pPr>
              <w:spacing w:after="0"/>
              <w:rPr>
                <w:sz w:val="18"/>
                <w:szCs w:val="18"/>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(981)</w:t>
            </w:r>
          </w:p>
        </w:tc>
        <w:tc>
          <w:tcPr>
            <w:tcW w:w="580" w:type="dxa"/>
            <w:vAlign w:val="bottom"/>
          </w:tcPr>
          <w:p>
            <w:pPr>
              <w:spacing w:after="0"/>
              <w:rPr>
                <w:sz w:val="18"/>
                <w:szCs w:val="18"/>
                <w:color w:val="auto"/>
              </w:rPr>
            </w:pPr>
          </w:p>
        </w:tc>
        <w:tc>
          <w:tcPr>
            <w:tcW w:w="9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(946)</w:t>
            </w:r>
          </w:p>
        </w:tc>
        <w:tc>
          <w:tcPr>
            <w:tcW w:w="78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(952)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available for common</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shares</w:t>
            </w:r>
          </w:p>
        </w:tc>
        <w:tc>
          <w:tcPr>
            <w:tcW w:w="5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287,655</w:t>
            </w:r>
          </w:p>
        </w:tc>
        <w:tc>
          <w:tcPr>
            <w:tcW w:w="7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323,478</w:t>
            </w:r>
          </w:p>
        </w:tc>
        <w:tc>
          <w:tcPr>
            <w:tcW w:w="4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313,363</w:t>
            </w:r>
          </w:p>
        </w:tc>
        <w:tc>
          <w:tcPr>
            <w:tcW w:w="4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45,949</w:t>
            </w:r>
          </w:p>
        </w:tc>
        <w:tc>
          <w:tcPr>
            <w:tcW w:w="7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204,756</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30.31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33.81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32.66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4.87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30.19</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33.68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32.59</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4.86</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0" w:type="dxa"/>
            <w:vAlign w:val="bottom"/>
            <w:tcBorders>
              <w:left w:val="single" w:sz="8" w:color="auto"/>
              <w:bottom w:val="single" w:sz="8" w:color="auto"/>
            </w:tcBorders>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53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205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balance sheet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As of</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As of</w:t>
            </w:r>
          </w:p>
        </w:tc>
      </w:tr>
      <w:tr>
        <w:trPr>
          <w:trHeight w:val="177"/>
        </w:trPr>
        <w:tc>
          <w:tcPr>
            <w:tcW w:w="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0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rPr>
              <w:t>December 30,</w:t>
            </w:r>
          </w:p>
        </w:tc>
        <w:tc>
          <w:tcPr>
            <w:tcW w:w="1300" w:type="dxa"/>
            <w:vAlign w:val="bottom"/>
            <w:tcBorders>
              <w:top w:val="single" w:sz="8" w:color="auto"/>
            </w:tcBorders>
            <w:gridSpan w:val="2"/>
          </w:tcPr>
          <w:p>
            <w:pPr>
              <w:jc w:val="right"/>
              <w:ind w:right="52"/>
              <w:spacing w:after="0" w:line="177" w:lineRule="exact"/>
              <w:rPr>
                <w:sz w:val="20"/>
                <w:szCs w:val="20"/>
                <w:color w:val="auto"/>
              </w:rPr>
            </w:pPr>
            <w:r>
              <w:rPr>
                <w:rFonts w:ascii="Arial" w:cs="Arial" w:eastAsia="Arial" w:hAnsi="Arial"/>
                <w:sz w:val="18"/>
                <w:szCs w:val="18"/>
                <w:b w:val="1"/>
                <w:bCs w:val="1"/>
                <w:color w:val="auto"/>
                <w:w w:val="97"/>
              </w:rPr>
              <w:t>December 31,</w:t>
            </w:r>
          </w:p>
        </w:tc>
        <w:tc>
          <w:tcPr>
            <w:tcW w:w="10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January 1,</w:t>
            </w:r>
          </w:p>
        </w:tc>
        <w:tc>
          <w:tcPr>
            <w:tcW w:w="200" w:type="dxa"/>
            <w:vAlign w:val="bottom"/>
          </w:tcPr>
          <w:p>
            <w:pPr>
              <w:spacing w:after="0"/>
              <w:rPr>
                <w:sz w:val="15"/>
                <w:szCs w:val="15"/>
                <w:color w:val="auto"/>
              </w:rPr>
            </w:pPr>
          </w:p>
        </w:tc>
        <w:tc>
          <w:tcPr>
            <w:tcW w:w="1440" w:type="dxa"/>
            <w:vAlign w:val="bottom"/>
            <w:tcBorders>
              <w:top w:val="single" w:sz="8" w:color="auto"/>
            </w:tcBorders>
            <w:gridSpan w:val="2"/>
          </w:tcPr>
          <w:p>
            <w:pPr>
              <w:jc w:val="right"/>
              <w:ind w:right="72"/>
              <w:spacing w:after="0" w:line="177" w:lineRule="exact"/>
              <w:rPr>
                <w:sz w:val="20"/>
                <w:szCs w:val="20"/>
                <w:color w:val="auto"/>
              </w:rPr>
            </w:pPr>
            <w:r>
              <w:rPr>
                <w:rFonts w:ascii="Arial" w:cs="Arial" w:eastAsia="Arial" w:hAnsi="Arial"/>
                <w:sz w:val="18"/>
                <w:szCs w:val="18"/>
                <w:b w:val="1"/>
                <w:bCs w:val="1"/>
                <w:color w:val="auto"/>
              </w:rPr>
              <w:t>September 28,</w:t>
            </w:r>
          </w:p>
        </w:tc>
        <w:tc>
          <w:tcPr>
            <w:tcW w:w="13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5"/>
                <w:szCs w:val="15"/>
                <w:color w:val="auto"/>
              </w:rPr>
            </w:pPr>
          </w:p>
        </w:tc>
      </w:tr>
      <w:tr>
        <w:trPr>
          <w:trHeight w:val="247"/>
        </w:trPr>
        <w:tc>
          <w:tcPr>
            <w:tcW w:w="20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1"/>
                <w:szCs w:val="21"/>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5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r>
      <w:tr>
        <w:trPr>
          <w:trHeight w:val="62"/>
        </w:trPr>
        <w:tc>
          <w:tcPr>
            <w:tcW w:w="200" w:type="dxa"/>
            <w:vAlign w:val="bottom"/>
          </w:tcPr>
          <w:p>
            <w:pPr>
              <w:spacing w:after="0"/>
              <w:rPr>
                <w:sz w:val="5"/>
                <w:szCs w:val="5"/>
                <w:color w:val="auto"/>
              </w:rPr>
            </w:pPr>
          </w:p>
        </w:tc>
        <w:tc>
          <w:tcPr>
            <w:tcW w:w="41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321,466</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348,148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215,861</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247,932</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330,550</w:t>
            </w: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4"/>
              </w:rPr>
              <w:t>6,004,509</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5,381,372</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4,584,773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5,943,944</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5,714,983</w:t>
            </w:r>
          </w:p>
        </w:tc>
        <w:tc>
          <w:tcPr>
            <w:tcW w:w="200" w:type="dxa"/>
            <w:vAlign w:val="bottom"/>
          </w:tcPr>
          <w:p>
            <w:pPr>
              <w:spacing w:after="0"/>
              <w:rPr>
                <w:sz w:val="17"/>
                <w:szCs w:val="17"/>
                <w:color w:val="auto"/>
              </w:rPr>
            </w:pPr>
          </w:p>
        </w:tc>
      </w:tr>
      <w:tr>
        <w:trPr>
          <w:trHeight w:val="270"/>
        </w:trPr>
        <w:tc>
          <w:tcPr>
            <w:tcW w:w="20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89,585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5,622</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24,820</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509,099</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4,825</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7"/>
                <w:szCs w:val="17"/>
                <w:color w:val="auto"/>
              </w:rPr>
            </w:pPr>
          </w:p>
        </w:tc>
        <w:tc>
          <w:tcPr>
            <w:tcW w:w="10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400,519</w:t>
            </w:r>
          </w:p>
        </w:tc>
        <w:tc>
          <w:tcPr>
            <w:tcW w:w="34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401,571</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403,635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w:t>
            </w:r>
          </w:p>
        </w:tc>
        <w:tc>
          <w:tcPr>
            <w:tcW w:w="56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400,972</w:t>
            </w: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4"/>
              </w:rPr>
              <w:t>2,531,524</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2,209,738</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1,934,083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2,585,318</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2,408,057</w:t>
            </w:r>
          </w:p>
        </w:tc>
        <w:tc>
          <w:tcPr>
            <w:tcW w:w="20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3,461,159</w:t>
            </w:r>
          </w:p>
        </w:tc>
        <w:tc>
          <w:tcPr>
            <w:tcW w:w="3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3,159,514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2,638,423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3,346,800</w:t>
            </w:r>
          </w:p>
        </w:tc>
        <w:tc>
          <w:tcPr>
            <w:tcW w:w="5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3,295,100</w:t>
            </w:r>
          </w:p>
        </w:tc>
      </w:tr>
      <w:tr>
        <w:trPr>
          <w:trHeight w:val="152"/>
        </w:trPr>
        <w:tc>
          <w:tcPr>
            <w:tcW w:w="200" w:type="dxa"/>
            <w:vAlign w:val="bottom"/>
            <w:tcBorders>
              <w:bottom w:val="single" w:sz="8" w:color="auto"/>
            </w:tcBorders>
          </w:tcPr>
          <w:p>
            <w:pPr>
              <w:spacing w:after="0"/>
              <w:rPr>
                <w:sz w:val="13"/>
                <w:szCs w:val="13"/>
                <w:color w:val="auto"/>
              </w:rPr>
            </w:pPr>
          </w:p>
        </w:tc>
        <w:tc>
          <w:tcPr>
            <w:tcW w:w="4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S-9</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i w:val="1"/>
          <w:iCs w:val="1"/>
          <w:color w:val="auto"/>
        </w:rPr>
        <w:t>An investment in the Notes involves various material risks. Prior to making a decision about investing in the Notes, and in consultation with your own financial and legal advisors, you should carefully consider, among other matters, the following risk factor, as well as those incorporated by reference in this prospectus supplement from our Annual Report on Form 10-K for the fiscal year ended December 30, 2007 filed under the headings “Risk Factors” and other filings we may make from time to time with the SEC.</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color w:val="auto"/>
        </w:rPr>
        <w:t>Negative impact of recent financial market crisis and economic downturn, particularly in the specific geographic markets served by the Company’s newspaper publishing and television broadcasting businesses</w:t>
      </w:r>
    </w:p>
    <w:p>
      <w:pPr>
        <w:spacing w:after="0" w:line="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significant portion of the Company’s revenues in its publishing and broadcasting businesses comes from advertising. The demand for advertising is sensitive to the overall level of economic activity, both nationally and locally. The financial market crisis and economic downturn has reduced advertising expenditures of many of our advertisers, which has had a negative impact on the operating results of the Company’s newspaper and magazine publishing and television broadcasting businesses. A continued decline in general economic conditions in the United States may have a material adverse effect on the operating results of the Company’s businesses.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expect to use the net proceeds from the sale of the Notes for general corporate purposes, including repayment of existing indebtedness, including our $400,000,000 aggregate principal amount of 5.50% Notes due February 15,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Ratio of earnings to fixed charges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ratio of earnings to fixed charges has been computed by dividing “earnings available for fixed charges” by “fixed charges.” For purposes of computing this ratio, “earnings available for fixed charges” principally consists of (i) income before income taxes and cumulative effect of change in accounting principle, and equity in earnings (losses) of affiliates, plus (ii) “fixed charges” (excluding capitalized interest). “Fixed charges” principally consists of interest expense and the portion of rental expense that is representative of the interest factor.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Thirty-nine</w:t>
            </w:r>
          </w:p>
        </w:tc>
        <w:tc>
          <w:tcPr>
            <w:tcW w:w="15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800" w:type="dxa"/>
            <w:vAlign w:val="bottom"/>
          </w:tcPr>
          <w:p>
            <w:pPr>
              <w:spacing w:after="0"/>
              <w:rPr>
                <w:sz w:val="19"/>
                <w:szCs w:val="19"/>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weeks ended</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2800" w:type="dxa"/>
            <w:vAlign w:val="bottom"/>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5"/>
              </w:rPr>
              <w:t>September 28,</w:t>
            </w:r>
          </w:p>
        </w:tc>
        <w:tc>
          <w:tcPr>
            <w:tcW w:w="440" w:type="dxa"/>
            <w:vAlign w:val="bottom"/>
          </w:tcPr>
          <w:p>
            <w:pPr>
              <w:spacing w:after="0"/>
              <w:rPr>
                <w:sz w:val="15"/>
                <w:szCs w:val="15"/>
                <w:color w:val="auto"/>
              </w:rPr>
            </w:pPr>
          </w:p>
        </w:tc>
        <w:tc>
          <w:tcPr>
            <w:tcW w:w="1520" w:type="dxa"/>
            <w:vAlign w:val="bottom"/>
            <w:tcBorders>
              <w:top w:val="single" w:sz="8" w:color="auto"/>
            </w:tcBorders>
          </w:tcPr>
          <w:p>
            <w:pPr>
              <w:jc w:val="right"/>
              <w:ind w:right="292"/>
              <w:spacing w:after="0" w:line="177" w:lineRule="exact"/>
              <w:rPr>
                <w:sz w:val="20"/>
                <w:szCs w:val="20"/>
                <w:color w:val="auto"/>
              </w:rPr>
            </w:pPr>
            <w:r>
              <w:rPr>
                <w:rFonts w:ascii="Arial" w:cs="Arial" w:eastAsia="Arial" w:hAnsi="Arial"/>
                <w:sz w:val="18"/>
                <w:szCs w:val="18"/>
                <w:b w:val="1"/>
                <w:bCs w:val="1"/>
                <w:color w:val="auto"/>
                <w:w w:val="95"/>
              </w:rPr>
              <w:t>December 30,</w:t>
            </w:r>
          </w:p>
        </w:tc>
        <w:tc>
          <w:tcPr>
            <w:tcW w:w="144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December 31,</w:t>
            </w:r>
          </w:p>
        </w:tc>
        <w:tc>
          <w:tcPr>
            <w:tcW w:w="134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January 1,</w:t>
            </w:r>
          </w:p>
        </w:tc>
        <w:tc>
          <w:tcPr>
            <w:tcW w:w="11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January 2,</w:t>
            </w:r>
          </w:p>
        </w:tc>
        <w:tc>
          <w:tcPr>
            <w:tcW w:w="15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December 28,</w:t>
            </w:r>
          </w:p>
        </w:tc>
        <w:tc>
          <w:tcPr>
            <w:tcW w:w="20" w:type="dxa"/>
            <w:vAlign w:val="bottom"/>
          </w:tcPr>
          <w:p>
            <w:pPr>
              <w:spacing w:after="0"/>
              <w:rPr>
                <w:sz w:val="15"/>
                <w:szCs w:val="15"/>
                <w:color w:val="auto"/>
              </w:rPr>
            </w:pPr>
          </w:p>
        </w:tc>
      </w:tr>
      <w:tr>
        <w:trPr>
          <w:trHeight w:val="234"/>
        </w:trPr>
        <w:tc>
          <w:tcPr>
            <w:tcW w:w="2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0"/>
                <w:szCs w:val="20"/>
                <w:color w:val="auto"/>
              </w:rPr>
            </w:pPr>
          </w:p>
        </w:tc>
        <w:tc>
          <w:tcPr>
            <w:tcW w:w="15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1440" w:type="dxa"/>
            <w:vAlign w:val="bottom"/>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1340" w:type="dxa"/>
            <w:vAlign w:val="bottom"/>
          </w:tcPr>
          <w:p>
            <w:pPr>
              <w:jc w:val="right"/>
              <w:ind w:right="152"/>
              <w:spacing w:after="0"/>
              <w:rPr>
                <w:sz w:val="20"/>
                <w:szCs w:val="20"/>
                <w:color w:val="auto"/>
              </w:rPr>
            </w:pPr>
            <w:r>
              <w:rPr>
                <w:rFonts w:ascii="Arial" w:cs="Arial" w:eastAsia="Arial" w:hAnsi="Arial"/>
                <w:sz w:val="18"/>
                <w:szCs w:val="18"/>
                <w:b w:val="1"/>
                <w:bCs w:val="1"/>
                <w:color w:val="auto"/>
              </w:rPr>
              <w:t>2006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2003</w:t>
            </w:r>
          </w:p>
        </w:tc>
      </w:tr>
      <w:tr>
        <w:trPr>
          <w:trHeight w:val="200"/>
        </w:trPr>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Ratio of earnings to fixed</w:t>
            </w:r>
          </w:p>
        </w:tc>
        <w:tc>
          <w:tcPr>
            <w:tcW w:w="1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800" w:type="dxa"/>
            <w:vAlign w:val="bottom"/>
          </w:tcPr>
          <w:p>
            <w:pPr>
              <w:ind w:left="220"/>
              <w:spacing w:after="0"/>
              <w:rPr>
                <w:sz w:val="20"/>
                <w:szCs w:val="20"/>
                <w:color w:val="auto"/>
              </w:rPr>
            </w:pPr>
            <w:r>
              <w:rPr>
                <w:rFonts w:ascii="Arial" w:cs="Arial" w:eastAsia="Arial" w:hAnsi="Arial"/>
                <w:sz w:val="18"/>
                <w:szCs w:val="18"/>
                <w:color w:val="auto"/>
              </w:rPr>
              <w:t>charges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1520" w:type="dxa"/>
            <w:vAlign w:val="bottom"/>
          </w:tcPr>
          <w:p>
            <w:pPr>
              <w:jc w:val="right"/>
              <w:ind w:right="292"/>
              <w:spacing w:after="0"/>
              <w:rPr>
                <w:sz w:val="20"/>
                <w:szCs w:val="20"/>
                <w:color w:val="auto"/>
              </w:rPr>
            </w:pPr>
            <w:r>
              <w:rPr>
                <w:rFonts w:ascii="Arial" w:cs="Arial" w:eastAsia="Arial" w:hAnsi="Arial"/>
                <w:sz w:val="18"/>
                <w:szCs w:val="18"/>
                <w:color w:val="auto"/>
              </w:rPr>
              <w:t>7.8</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357"/>
        </w:trPr>
        <w:tc>
          <w:tcPr>
            <w:tcW w:w="28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S-11</w:t>
            </w:r>
          </w:p>
        </w:tc>
        <w:tc>
          <w:tcPr>
            <w:tcW w:w="14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Description of notes</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Notes constitute a series of debt securities described in the accompanying prospectus. This description supplements, and to the extent inconsistent therewith, replaces the descriptions of the general terms and provisions contained in “Description of the Debt Securities” in the accompanying prospectus. The Notes will be issued under an indenture (the “Base Indenture”), dated as of February 17, 1999, between the Company and The Bank of New York Mellon Trust Company, N.A. (successor trustee to The First National Bank of Chicago), as Trustee (the “Trustee”), as amended by a First Supplemental Indenture dated as of September 22, 2003 (the “First Supplement Indenture”) and a Second Supplemental Indenture to be dated as of January 30, 2009 ( the “Second Supplement Indenture,” together with the First Supplement Indenture and the Base Indenture, the “Indenture”). The Notes may be issued from time to time in one or more series. The following statements are subject to the detailed provisions of the Indenture. We urge you to read the Indenture because it, not the summaries below and in the accompanying prospectus, defines your rights. Capitalized terms that are not defined in the following discussion have the meanings assigned to them in the Indenture. For purposes of this section of the prospectus supplement, references to “the Company” are to “The Washington Post Company.”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Notes offered will be initially issued in an aggregate principal amount of $400,000,000. The Notes will be issued in fully registered form only, in denominations of $2,000 and integral multiples of $1,000 in excess thereof, and will mature on February 1, 2019. The Notes will be issued as a new series of debt securities under the Indenture. The Indenture does not limit the amount of other unsecured indebtedness that we or our subsidiaries may incur and this may have important consequences for you as a holder of the Notes, including making it more difficult for us to satisfy our obligations with respect to the Notes, a loss in the trading value of your Notes and a risk that the credit rating of the Notes is lowered or withdrawn. We may, from time to time, without the consent of the holders of the Notes, issue other debt securities under the Indenture in addition to the $400,000,000 aggregate principal amount of the Notes. We may also, from time to time, without the consent of the holders, issue additional debt securities having the same ranking and the same interest rate, maturity and other terms as the Notes, except for issue date and issue price. Any additional debt securities having those similar terms, together with the Notes, will constitute a single series of debt securities under the Indenture if such additional debt securities are fungible with the Notes for U.S. federal income tax purposes.</w:t>
      </w:r>
    </w:p>
    <w:p>
      <w:pPr>
        <w:spacing w:after="0" w:line="1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Notes will bear interest from January 30, 2009 at the annual rate set forth on the cover page of this prospectus supplement, payable semi-annually on February 1 and August 1 of each year, commencing August 1, 2009, to the persons in whose names the Notes are registered at the close of business on the immediately preceding January 15 and July 15, respectively, whether or not that day is a business day. Interest on the Notes will be computed on the basis of a 360-day year comprised of twelve 30-day months. Any payment otherwise required to be made in respect of the Notes on a date that is not a business day for the Notes may be made on the next succeeding business day with the same force and effect as if made on that date. No additional interest shall accrue as a result of a delayed payment.</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Notes will be our general unsecured obligations and will rank equally in right of payment with all of our other existing and future unsecured and unsubordinated indebtedness.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Notes do not provide for any sinking fund.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intend to list the Notes on any securities exchange. We cannot assure you that an active trading market will develop or be maintained for the Notes. If an active trading market does develop for the Notes, the Notes may trade at a discount from their initial offering price depending on prevailing interest rates, the market for similar securities, our financial performance and other factors. In addition, there may be a limited number of buyers when you decide to sell your Notes. This may affect the price, if any, offered for your Notes or your ability to sell your Notes when desired or at all.</w:t>
      </w:r>
    </w:p>
    <w:p>
      <w:pPr>
        <w:spacing w:after="0" w:line="103"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For a description of the rights attaching to debt securities under the Indenture, see “Description of Debt Securities” in the accompanying prospectus.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1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Notes will be redeemable, in whole or in part, at our option at any time. The redemption price for the Notes to be redeemed will equal the greater of the following amounts, plus, in each case, accrued and unpaid interest to the redemption date:</w:t>
      </w:r>
    </w:p>
    <w:p>
      <w:pPr>
        <w:spacing w:after="0" w:line="114"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of the principal amount of such Notes; or</w:t>
      </w:r>
    </w:p>
    <w:p>
      <w:pPr>
        <w:spacing w:after="0" w:line="117" w:lineRule="exact"/>
        <w:rPr>
          <w:rFonts w:ascii="Arial" w:cs="Arial" w:eastAsia="Arial" w:hAnsi="Arial"/>
          <w:sz w:val="18"/>
          <w:szCs w:val="18"/>
          <w:color w:val="auto"/>
        </w:rPr>
      </w:pPr>
    </w:p>
    <w:p>
      <w:pPr>
        <w:jc w:val="both"/>
        <w:ind w:left="220" w:right="140" w:hanging="212"/>
        <w:spacing w:after="0" w:line="23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determined by the Quotation Agent (as defined below), the sum of the present values of the remaining scheduled payments of principal and interest on such Notes (not including any portion of any payments of interest accrued as of the redemption date) discounted to the redemption date on a semi-annual basis at the Adjusted Treasury Rate (as defined below) plus 50 basis points.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price will be calculated assuming a 360-day year consisting of twelve 30-day months.</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the principal amount) equal to the Comparable Treasury Price for that redemption date. The Adjusted Treasury Rate will be calculated on the third business day preceding the redemption date.</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“Comparable Treasury Issue” means the U.S. Treasury security selected by the applicable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w:t>
      </w:r>
    </w:p>
    <w:p>
      <w:pPr>
        <w:spacing w:after="0" w:line="10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“Comparable Treasury Price” means, with respect to any redemption date, (A) the average of four Reference Treasury Dealer Quotations for that redemption date, after excluding the highest and lowest of those Reference Treasury Dealer Quotations, or (B) if the Company obtains fewer than four such Reference Treasury Dealer Quotations, the average of all of those quotations.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“Quotation Agent” means the Reference Treasury Dealer appointed by us for the Notes.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 Treasury Dealer” means:</w:t>
      </w:r>
    </w:p>
    <w:p>
      <w:pPr>
        <w:spacing w:after="0" w:line="117" w:lineRule="exact"/>
        <w:rPr>
          <w:sz w:val="20"/>
          <w:szCs w:val="20"/>
          <w:color w:val="auto"/>
        </w:rPr>
      </w:pPr>
    </w:p>
    <w:p>
      <w:pPr>
        <w:ind w:left="220" w:right="960" w:hanging="212"/>
        <w:spacing w:after="0" w:line="299"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Citigroup Global Markets Inc. and J.P. Morgan Securities Inc. and their successors; provided that, if any ceases to be a primary U.S. Government securities dealer in the U.S. (“Primary Treasury Dealer”), we will substitute another Primary Treasury Dealer; and</w:t>
      </w:r>
    </w:p>
    <w:p>
      <w:pPr>
        <w:spacing w:after="0" w:line="68" w:lineRule="exact"/>
        <w:rPr>
          <w:rFonts w:ascii="Arial" w:cs="Arial" w:eastAsia="Arial" w:hAnsi="Arial"/>
          <w:sz w:val="16"/>
          <w:szCs w:val="16"/>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Primary Treasury Dealers selected by 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Trustee, of the bid and asked prices for the Comparable Treasury Issue (expressed in each case as a percentage of its principal amount) quoted in writing to the Company by such Reference Treasury Dealer at 5:00 p.m. (New York City time) on the third business day preceding that redemption date.</w:t>
      </w:r>
    </w:p>
    <w:p>
      <w:pPr>
        <w:spacing w:after="0" w:line="10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will mail notice of any redemption at least 30 days but not more than 60 days before the redemption date to each holder of the Notes to be redeemed. If we elect to partially redeem the Notes, the Trustee will select in a fair and appropriate manner the Notes to be redeemed; provided however that no Notes of a principal amount of $2,000 or less shall be redeemed in part.</w:t>
      </w:r>
    </w:p>
    <w:p>
      <w:pPr>
        <w:spacing w:after="0" w:line="10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of the Notes called for redemption.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at any time purchase Notes by tender, in the open market or by private agreement, subject to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control repurchase event</w:t>
      </w:r>
    </w:p>
    <w:p>
      <w:pPr>
        <w:spacing w:after="0" w:line="1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a Change of Control Repurchase Event occurs, unless we have exercised our right to redeem the Notes as described above, we will be required to make an offer to each holder of Notes to repurchase all or any part (equal to $2,000 or an integral multiple of $1,000 in excess thereof) of that holder’s Notes at a repurchase price in cash equal to 101% of the aggregate principal amount of Notes repurchased plus any accrued and unpaid interest on the Notes repurchased to, but not including, the date of repurchase. Within 30 days following any Change of Control Repurchase Event or, at our option, prior to any Change of Control, but after the public announcement of the Change of Control, we will mail a notice to each holder, with a copy to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a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repurchase date following a Change of Control Repurchase Event, we will, to the extent lawful:</w:t>
      </w:r>
    </w:p>
    <w:p>
      <w:pPr>
        <w:spacing w:after="0" w:line="11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17" w:lineRule="exact"/>
        <w:rPr>
          <w:rFonts w:ascii="Arial" w:cs="Arial" w:eastAsia="Arial" w:hAnsi="Arial"/>
          <w:sz w:val="18"/>
          <w:szCs w:val="18"/>
          <w:color w:val="auto"/>
        </w:rPr>
      </w:pPr>
    </w:p>
    <w:p>
      <w:pPr>
        <w:ind w:left="900" w:right="320" w:hanging="446"/>
        <w:spacing w:after="0" w:line="23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114" w:lineRule="exact"/>
        <w:rPr>
          <w:rFonts w:ascii="Arial" w:cs="Arial" w:eastAsia="Arial" w:hAnsi="Arial"/>
          <w:sz w:val="18"/>
          <w:szCs w:val="18"/>
          <w:color w:val="auto"/>
        </w:rPr>
      </w:pPr>
    </w:p>
    <w:p>
      <w:pPr>
        <w:ind w:left="900" w:right="180" w:hanging="446"/>
        <w:spacing w:after="0" w:line="23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$2,000 or an integral multiple of $1,000 in excess thereof.</w:t>
      </w:r>
    </w:p>
    <w:p>
      <w:pPr>
        <w:spacing w:after="0" w:line="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such an offer in the manner, at the times and otherwise in compliance with the requirements for an offer made by us and such third party purchases all Notes properly tendered and not withdrawn under its offer.</w:t>
      </w:r>
    </w:p>
    <w:p>
      <w:pPr>
        <w:spacing w:after="0" w:line="100"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definition of “Change of Control” under the Indenture includes a phrase relating to the direct or indirect sale, lease, transfer, conveyance or other disposition of “all or substantially all” of our and our subsidiaries’ properties or assets taken as a whole. There is no precise established definition of the phrase “substantially all” under applicable law. Accordingly, the ability of a holder of Notes to require us to repurchase such holder’s Notes as a result of a sale, lease, transfer, conveyance or other disposition of less than all of our and our subsidiaries’ assets taken as a whole to another person or group may be uncertain.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description of a repurchase at the option of holders, the following definitions are applicable:</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“Below Investment Grade Ratings Event” means that on any day within the 60-day period (which period shall be extended so long as the rating of the Notes is under publicly announced consideration for a possible downgrade by any of the Rating Agencies after the earlier of (1) the occurrence of a Change of Control; or (2) public notice of the occurrence of a Change of Control or the intention by the Company to effect a Change of Control, the Notes are rated below Investment Grade by each of the Rating Agencies. Notwithstanding the foregoing, a Below Investment Grade Ratings Event otherwise arising by virtue of a particular reduction in rating shall not be deemed to have occurred in respect of a particular Change of Control (and thus shall not be deemed a Below Investment Grade Ratings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1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“Change of Control” means the occurrence of any one of the following: (i) the consummation of any transaction (including, without limitation, any merger or consolidation) the result of which is that any “person” (as that term is used in Section 13(d)(3) of the Exchange Act), other than one or more Permitted Holders, becomes the beneficial owner (as defined in Rules 13d-3 and 13d-5 under the Exchange Act), directly or indirectly, of more than 50% of the combined voting power of our Voting Stock or other Voting Stock into which our Voting Stock is reclassified, consolidated, exchanged or changed measured by voting power rather than number of shares; (ii) the direct or indirect sale, lease, transfer conveyance or other disposition (other than by way of merger or consolidation), in one or a series of related transactions, of all or substantially all of our properties or assets and those of our subsidiaries taken as a whole to any “person” (as that term is used in Section 13(d)(3) of the Exchange Act), other than one or more Permitted Holders;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8"/>
        <w:spacing w:after="0" w:line="264" w:lineRule="auto"/>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consolidate with, or merge with or into, any “person” (as that term is used in Section 13(d)(3) of the Exchange Act),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w:t>
      </w:r>
    </w:p>
    <w:p>
      <w:pPr>
        <w:ind w:right="20" w:firstLine="8"/>
        <w:spacing w:after="0" w:line="237" w:lineRule="auto"/>
        <w:tabs>
          <w:tab w:leader="none" w:pos="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our board of directors cease to be Continuing Directors; (v) the adoption of a plan relating to our liquidation or dissolution; or (vi) the consummation of a so-called “going private/Rule 13e-3 Transaction” that results in any of the effects described in paragraph (a)(3)(ii) of Rule 13e-3 under the Exchange Act (or any successor provision), following which the Family Members beneficially own, directly or indirectly, more than 50% of our Voting Stock, measured by voting power rather than number of shares.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Repurchase Event” means the occurrence of both a Change of Control and a Below Investment Grade Ratings Event.</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“Continuing Directors” means, as of any date of determination, any member of our Board of Directors who (1) was a member of such Board of Directors on the date of the issuance of the Notes; (2) was nominated for election, elected or appointed to such Board of Directors with the approval of a majority of the Continuing Directors who were members of such Board of Directors at the time of such nomination, election or appointment; or (3) was nominated for election, elected or appointed to such Board of Directors by the majority of the outstanding shares of class A common stock as a replacement for a member of the Board of Directors who was elected to the Board of Directors by the class A common stock.</w:t>
      </w:r>
    </w:p>
    <w:p>
      <w:pPr>
        <w:spacing w:after="0" w:line="7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“Family Member” means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10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“Investment Grade” means a rating of Baa3 or better by Moody’s (or its equivalent under any successor rating categories of Moody’s); a rating of BBB- or better by S&amp;P (or its equivalent under any successor rating categories of S&amp;P); or the equivalent Investment Grade credit rating from any replacement Rating Agency or Rating Agencies selected by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0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“Permitted Holders” means (1) the Company and its subsidiaries and (2)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100"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“Rating Agency” means (1) each of Moody’s and S&amp;P; and (2) if any of Moody’s or S&amp;P ceases to rate the Notes or fails to make a rating of the Notes publicly available for reasons outside of our control, a “nationally recognized statistical rating organization” within the meaning of Rule</w:t>
      </w:r>
    </w:p>
    <w:p>
      <w:pPr>
        <w:ind w:right="100"/>
        <w:spacing w:after="0" w:line="239" w:lineRule="auto"/>
        <w:rPr>
          <w:sz w:val="20"/>
          <w:szCs w:val="20"/>
          <w:color w:val="auto"/>
        </w:rPr>
      </w:pPr>
      <w:r>
        <w:rPr>
          <w:rFonts w:ascii="Arial" w:cs="Arial" w:eastAsia="Arial" w:hAnsi="Arial"/>
          <w:sz w:val="18"/>
          <w:szCs w:val="18"/>
          <w:color w:val="auto"/>
        </w:rPr>
        <w:t>15c3-1(c)(2)(vi)(F) under the Exchange Act, selected by us (as certified by a resolution of the Chief Executive Officer or Chief Financial Officer) as a replacement agency for Moody’s or S&amp;P, or both of them, as the case may be.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0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“Voting Stock” of any specified “person” (as that term is used in Section 13(d)(3) of the Exchange Act) as of any date means the capital stock of such person that is at the time entitled to vote generally in the election of the board of directors of such person.</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Change of Control Repurchase Event feature of the Notes may in certain circumstances make more difficult or discourage a sale or takeover of the Company and, thus, the removal of incumbent management. Subject to the limitations discussed below, we could, in the future, enter into certain transactions, including acquisitions, refinancings or other recapitalizations, that would not constitute a Change of Control under the Notes, but that could increase the amount of indebtedness outstanding at such time or otherwise affect our capital structure or credit ratings on the Notes. Restrictions on our ability to incur secured indebtedness are contained in the covenants as described in the accompanying prospectus under “Description of Debt Securities—Certain Covenants of the Company.”</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provisions of the Notes that relate to a Change of Control Repurchase Event may not protect you from certain important corporate events such as a leveraged recapitalization (which would increase the level of our indebtedness), reorganization, restructuring, merger or other similar transactions not involving a change in voting power or the beneficial ownership of the Company. Moreover, certain transactions involving the Permitted Holders, such as a sale of all or substantially all of our assets to those entities, may not constitute a Change of Control. Even transactions involving a change in voting power or beneficial ownership of the Company may not involve a change that constitutes a Change of Control and, if not, will not constitute a Change of Control Repurchase Event that would trigger our obligation to offer to repurchase the Notes. Such transactions could increase the amount of debt outstanding at such time or otherwise affect our capital structure or adversely affect our credit ratings.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may not have sufficient funds to repurchase all the Notes upon a Change of Control Repurchase Event.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merger, consolidation and certain sale of assets</w:t>
      </w:r>
    </w:p>
    <w:p>
      <w:pPr>
        <w:spacing w:after="0" w:line="1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provisions of the Indenture described under “Description of Debt Securities—Limitation on Merger, Consolidation and Certain Sale of Assets” in the accompanying prospectus will apply to the Notes.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Certain covenants in the Indenture limit our ability and the ability of our Restricted Subsidiaries to:</w:t>
      </w:r>
    </w:p>
    <w:p>
      <w:pPr>
        <w:spacing w:after="0" w:line="11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incur or guarantee any secured indebtedness;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04" w:lineRule="exact"/>
        <w:rPr>
          <w:sz w:val="20"/>
          <w:szCs w:val="20"/>
          <w:color w:val="auto"/>
        </w:rPr>
      </w:pPr>
    </w:p>
    <w:p>
      <w:pPr>
        <w:jc w:val="center"/>
        <w:ind w:right="180"/>
        <w:spacing w:after="0" w:line="411" w:lineRule="auto"/>
        <w:rPr>
          <w:sz w:val="20"/>
          <w:szCs w:val="20"/>
          <w:color w:val="auto"/>
        </w:rPr>
      </w:pPr>
      <w:r>
        <w:rPr>
          <w:rFonts w:ascii="Arial" w:cs="Arial" w:eastAsia="Arial" w:hAnsi="Arial"/>
          <w:sz w:val="18"/>
          <w:szCs w:val="18"/>
          <w:color w:val="auto"/>
        </w:rPr>
        <w:t>For a description of these covenants, see “Description of Debt Securities—Certain Covenants of the Company” in the accompanying prospectus. 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Satisfaction and discharge; defeasance</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At the request of the Company, the Indenture will cease to be in effect as to the Notes of any series (except for certain obligations to register the transfer or exchange of such Notes and related coupons, if any, and hold moneys for payment of such Notes and coupons in trust) when (1) either</w:t>
      </w:r>
    </w:p>
    <w:p>
      <w:pPr>
        <w:ind w:firstLine="8"/>
        <w:spacing w:after="0" w:line="236"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such Notes and coupons have been delivered to the Trustee for cancellation or (b) all such Notes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Notes are payable, in an amount sufficient to pay all the principal of, and premium and interest, if any, on, such Notes on the dates such payments are due in accordance with the terms of such Notes; (2) the Company has paid or caused to be paid all other sums payable by the Company, if any, with respect to the Notes; and (3) the Company has delivered to the Trustee an officers’ certificate and an opinion of counsel, in accordance with the terms of the Indenture.</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may defease any series of Notes and, at its option, either (a) be Discharged after 90 days from any and all obligations in respect of such series of Notes (except for certain obligations to register the transfer of or exchange Notes and related coupons, replace stolen, lost or mutilated Notes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Notes and coupons denominated in U.S. dollars, U.S. Government Obligations or, in the case of Notes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Notes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notes</w:t>
      </w:r>
    </w:p>
    <w:p>
      <w:pPr>
        <w:spacing w:after="0" w:line="13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Depository Trust Company (“DTC”), New York, New York, will act as securities depository for the Notes. The Notes will be issued as fully registered global securities registered in the name of Cede &amp; Co. (DTC’s partnership nominee) or such other name as may be requested by an authorized representative of DTC.</w:t>
      </w:r>
    </w:p>
    <w:p>
      <w:pPr>
        <w:spacing w:after="0" w:line="100"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Beneficial interests in the Notes will be shown on, and transfers thereof will be affected only through, records maintained by DTC and its direct and indirect participants. Investors may elect to hold interests in the Notes through DTC if they are participants in the DTC system, or indirectly through organizations which are participants in the DTC system.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DTC has informed us that DTC is:</w:t>
      </w:r>
    </w:p>
    <w:p>
      <w:pPr>
        <w:spacing w:after="0" w:line="11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DTC holds securities that its participants (“Direct Participants”) deposit with DTC. DTC also facilitates the settlement among Direct Participants of securities transactions, such as transfers and pledges, in deposited securities through electronic computerized book-entry changes in Direct Participants’ accounts, which eliminates the need for physical movement of securities certificates. Direct Participants include securities brokers and dealers, banks, trust companies, clearing corporations, and certain other organizations. DTC is owned by a number of its Direct Participants and by the New York Stock Exchange, Inc., the American Stock Exchange LLC and the Financial Industry Regulatory Authority. Access to the DTC system is also available to others such as securities brokers and dealers, banks, trust companies and clearing corporations that clear through or maintain a custodial relationship with a Direct Participant, either directly or indirectly (“Indirect Participants”). The rules applicable to DTC and its Direct and Indirect Participants are on file with the Commission.</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Purchases of the Notes under the DTC system must be made by or through Direct Participants, which receive a credit for the Notes on DTC’s records. The ownership interest of each actual purchaser of each Note (a “Beneficial Owner”) is in turn to be recorded on the Direct and Indirect Participants’ records. Beneficial Owners will not receive written confirmations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Notes except in the event that use of the book-entry system for the Notes is discontinued. As a result, the ability of a person having a beneficial interest in the Notes to pledge such interest to persons or entities that do not participate in the DTC system, or to otherwise take actions with respect to such interest, may be affected by the lack of a physical certificate evidencing such interest. In addition, the laws of some states require that certain persons take physical delivery in definitive form of securities that they own and that security interests in negotiable instruments can only be perfected by delivery of certificates representing the instruments. Consequently, the ability to transfer Notes evidenced by the global notes will be limited to such extent.</w:t>
      </w:r>
    </w:p>
    <w:p>
      <w:pPr>
        <w:spacing w:after="0" w:line="10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nominee do not effect any change in beneficial ownership. DTC has no knowledge of the actual Beneficial Owners of the Notes. DTC’s records reflect only the identity of the Direct Participants to whose accounts such notes are credited, which may or may not be the Beneficial Owners. The Direct and Indirect Participants will remain responsible for keeping account of their holdings on behalf of their customers.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Neither DTC nor Cede &amp; Co. (nor such other DTC nominee) will consent or vote with respect to the Notes unless authorized by a Direct Participant in accordance with DTC procedures. Under its usual procedures, DTC mails an Omnibus Proxy to the issuer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0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Payments of principal, interest and premium, if any, on the Notes will be made to Cede &amp; Co., or such other nominee as may be requested by an authorized representative of DTC. DTC’s practice is to credit Direct Participants’ accounts, upon DTC’s receipt of funds and corresponding detail information from us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us, subject to any statutory or regulatory requirements as may be in effect from time to time. Payment of principal, interest and premiums, if any, on the Notes and payment of redemption proceeds, distributions and dividends to Cede &amp; Co. (or such other nominee as may be requested by an authorized representative of DTC) is our responsibility and disbursement of such payments to Direct Participants will be the responsibility of DTC, and disbursement of such payments to the Beneficial Owners will be the responsibility of Direct and Indirect Participants.</w:t>
      </w:r>
    </w:p>
    <w:p>
      <w:pPr>
        <w:spacing w:after="0" w:line="8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Investors electing to hold their Notes through DTC will follow the settlement practices applicable to U.S. corporate debt obligations. The securities custody accounts of investors will be credited with their holdings on the settlement date against payment in same-day funds within DTC effected in U.S. dollars.</w:t>
      </w:r>
    </w:p>
    <w:p>
      <w:pPr>
        <w:spacing w:after="0" w:line="1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Secondary market sales of book-entry interests in the Notes between DTC Participants will occur in the ordinary way in accordance with DTC rules and will be settled using the procedures applicable to U.S. corporate debt obligations in DTC’s Settlement System.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If (1) DTC is at any time unwilling, unable or ineligible to continue as depository and a successor depository is not appointed by us within 90 days,</w:t>
      </w:r>
    </w:p>
    <w:p>
      <w:pPr>
        <w:spacing w:after="0" w:line="19" w:lineRule="exact"/>
        <w:rPr>
          <w:sz w:val="20"/>
          <w:szCs w:val="20"/>
          <w:color w:val="auto"/>
        </w:rPr>
      </w:pPr>
    </w:p>
    <w:p>
      <w:pPr>
        <w:ind w:right="20" w:firstLine="8"/>
        <w:spacing w:after="0" w:line="299"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in our sole discretion determine not to have the Notes represented by one or more global securities or (3) an event of default with respect to the Notes has occurred and is continuing, we will issue individual Notes in exchange for the global security or securities representing the Notes.</w:t>
      </w:r>
    </w:p>
    <w:p>
      <w:pPr>
        <w:spacing w:after="0" w:line="55"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We will not have any responsibility or obligation to participants in the DTC system or the persons for whom they act as nominees with respect to the accuracy of the records of DTC, its nominee or any Direct or Indirect Participant with respect to any ownership interest in the Notes, or with respect to payments to or providing of notice for the Direct Participants, the Indirect Participants or the beneficial owners of the Notes.</w:t>
      </w:r>
    </w:p>
    <w:p>
      <w:pPr>
        <w:spacing w:after="0" w:line="7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information in this section concerning DTC and its book-entry systems has been obtained from sources that we believe to be reliable. Neither we, the Trustee nor the underwriters, dealers or agents are responsible for the accuracy or completeness of this information.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 federal income tax consequences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section summarizes the material U.S. tax consequences to holders of the Notes. The following is a summary of certain material U.S. federal income tax considerations of the purchase, ownership and disposition of the Notes. This summary is based upon provisions of the Internal Revenue Code of 1986, as amended (the “Code”), applicable Treasury regulations, administrative rulings and judicial decisions in effect as of the date of this offering memorandum, any of which may subsequently be changed, possibly retroactively, or interpreted differently by the Internal Revenue Service (“IRS”), so as to result in U.S. federal income tax consequences different from those discussed below. However, the discussion is limited in the following ways:</w:t>
      </w:r>
    </w:p>
    <w:p>
      <w:pPr>
        <w:spacing w:after="0" w:line="116"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covers you only if you buy the Notes at the issue price in the initial offering.</w:t>
      </w:r>
    </w:p>
    <w:p>
      <w:pPr>
        <w:spacing w:after="0" w:line="117"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covers you only if you hold the Notes as a capital asset within the meaning of Section 1221 of the Code, and if you do not have a special tax status.</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does not cover tax consequences that depend upon your particular tax situation in addition to your ownership of the Notes. We suggest that you consult your tax advisor about the consequences of holding the Notes in your particular situation.</w:t>
      </w:r>
    </w:p>
    <w:p>
      <w:pPr>
        <w:spacing w:after="0" w:line="114" w:lineRule="exact"/>
        <w:rPr>
          <w:rFonts w:ascii="Arial" w:cs="Arial" w:eastAsia="Arial" w:hAnsi="Arial"/>
          <w:sz w:val="18"/>
          <w:szCs w:val="18"/>
          <w:color w:val="auto"/>
        </w:rPr>
      </w:pPr>
    </w:p>
    <w:p>
      <w:pPr>
        <w:ind w:left="220" w:right="40" w:hanging="212"/>
        <w:spacing w:after="0" w:line="299"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discussion does not cover you if you are a partner in a partnership (or entity treated as a partnership for U.S. tax purposes). If a partnership holds Notes, the tax treatment of a partner will generally depend upon the status of the partner and upon the activities of the partnership.</w:t>
      </w:r>
    </w:p>
    <w:p>
      <w:pPr>
        <w:spacing w:after="0" w:line="68" w:lineRule="exact"/>
        <w:rPr>
          <w:rFonts w:ascii="Arial" w:cs="Arial" w:eastAsia="Arial" w:hAnsi="Arial"/>
          <w:sz w:val="16"/>
          <w:szCs w:val="16"/>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is based on current law. Changes in the law may change the tax treatment of the Notes.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does not cover state, local or foreign law.</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not requested a ruling from the IRS on the tax consequences of owning the Notes. As a result, the IRS could disagree with portions of this discussion.</w:t>
      </w:r>
    </w:p>
    <w:p>
      <w:pPr>
        <w:spacing w:after="0" w:line="114" w:lineRule="exact"/>
        <w:rPr>
          <w:rFonts w:ascii="Arial" w:cs="Arial" w:eastAsia="Arial" w:hAnsi="Arial"/>
          <w:sz w:val="18"/>
          <w:szCs w:val="18"/>
          <w:color w:val="auto"/>
        </w:rPr>
      </w:pPr>
    </w:p>
    <w:p>
      <w:pPr>
        <w:ind w:left="220" w:right="260" w:hanging="212"/>
        <w:spacing w:after="0" w:line="238"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discussion does not address tax considerations applicable to investors that may be subject to special tax rules, such as financial institutions, tax-exempt entities, insurance companies, dealers in securities or foreign currencies, persons that will hold the Notes as part of a hedge or as a position in a “straddle” or conversion transaction, or as, part of a “synthetic security” or integrated financial transaction.</w:t>
      </w:r>
    </w:p>
    <w:p>
      <w:pPr>
        <w:spacing w:after="0" w:line="113"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discussion does not address the U.S. federal estate and gift or alternative minimum tax consequences of the purchase, ownership or sale of the Notes.</w:t>
      </w:r>
    </w:p>
    <w:p>
      <w:pPr>
        <w:spacing w:after="0" w:line="10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 are considering buying the Notes, we suggest that you consult your tax advisor about the tax consequences of holding the Notes in your particular situation.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U.S. 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applies to you if you are a “U.S. Holder” of the Notes. For purposes of this discussion a “U.S. Holder” is a beneficial owner of the</w:t>
      </w:r>
    </w:p>
    <w:p>
      <w:pPr>
        <w:spacing w:after="0"/>
        <w:rPr>
          <w:sz w:val="20"/>
          <w:szCs w:val="20"/>
          <w:color w:val="auto"/>
        </w:rPr>
      </w:pPr>
      <w:r>
        <w:rPr>
          <w:rFonts w:ascii="Arial" w:cs="Arial" w:eastAsia="Arial" w:hAnsi="Arial"/>
          <w:sz w:val="18"/>
          <w:szCs w:val="18"/>
          <w:color w:val="auto"/>
        </w:rPr>
        <w:t>Notes that is:</w:t>
      </w:r>
    </w:p>
    <w:p>
      <w:pPr>
        <w:spacing w:after="0" w:line="11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U.S. citizen or resident alien;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corporation—or entity taxable as a corporation for U.S. federal income tax purposes—that was created under U.S. law (federal or state);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or trust whose world-wide income is subject to U.S. federal income tax.</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stated interest payable on the Notes generally will be taxable to you as ordinary income at the time it is paid or accrued in accordance with your regular method of accounting for U.S. federal income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retirement of the notes</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your sale or retirement of your Note, you will have taxable gain or loss equal to the difference between the amount received by you and your tax basis in the Note. Your tax basis in the Note is your cost, subject to certain adjustments. Your gain or loss will generally be capital gain or loss, and will be long term capital gain or loss if you held the Note for more than one year. For an individual, the maximum tax rate on long term capital gains is 15% for taxable years before 2011. If you sell the Note between interest payment dates, a portion of the amount you receive reflects interest that has accrued on the Note but has not yet been paid by the sale date. That amount is treated as ordinary interest income and not as sale proceeds.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tax rules concerning information reporting to the IRS, assuming you hold your Notes through a broker or other securities intermediary, the intermediary must provide information to the IRS and to you on IRS Form 1099 concerning interest and retirement proceeds on your Notes, unless an exemption applies. Similarly, unless an exemption applies, you must provide the intermediary with your Taxpayer Identification Number for its use in reporting information to the IRS. If you are an individual, this is your social security number. You are also required to comply with other IRS requirements concerning information reporting.</w:t>
      </w:r>
    </w:p>
    <w:p>
      <w:pPr>
        <w:spacing w:after="0" w:line="1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you are subject to these requirements but do not comply, the intermediary must withhold at a rate currently equal to 28% of all amounts payable to you on the Notes (including principal payments). This is called “backup withholding.” If the intermediary withholds payments, you may use the withheld amount as a credit against your federal income tax liability. All individuals are subject to these requirements. Some holders, including all corporations, tax-exempt organizations and individual retirement accounts, are exempt from these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non-U.S. 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This section applies to you if you are a “Non-U.S. Holder.” A “Non-U.S. Holder” is any holder that is not a U.S. Holder.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Generally, payments of principal and interest on the Notes will not be subject to U.S. withholding taxes if:</w:t>
      </w:r>
    </w:p>
    <w:p>
      <w:pPr>
        <w:spacing w:after="0" w:line="11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certify on Internal Revenue Service Form W-8BEN, under penalties of perjury, that you are not a U.S. person; and</w:t>
      </w:r>
    </w:p>
    <w:p>
      <w:pPr>
        <w:spacing w:after="0" w:line="117" w:lineRule="exact"/>
        <w:rPr>
          <w:rFonts w:ascii="Arial" w:cs="Arial" w:eastAsia="Arial" w:hAnsi="Arial"/>
          <w:sz w:val="18"/>
          <w:szCs w:val="18"/>
          <w:color w:val="auto"/>
        </w:rPr>
      </w:pPr>
    </w:p>
    <w:p>
      <w:pPr>
        <w:ind w:left="220" w:right="56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voting power of all our voting stock and you are not a controlled foreign corporation that is related to us.</w:t>
      </w:r>
    </w:p>
    <w:p>
      <w:pPr>
        <w:spacing w:after="0" w:line="10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Otherwise, payments of interest on the Notes will be subject to a gross withholding tax of 30% (or such lower rate as may be available to you under an applicable treaty), unless such income is effectively connected with a U.S. trade or business in which case the income will generally be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taxed in the same manner as that of a U.S. Holder, or you are eligible for the benefits under an applicable income tax treaty and, in each case, you file the appropriate documentation.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retirement of the notes</w:t>
      </w:r>
    </w:p>
    <w:p>
      <w:pPr>
        <w:spacing w:after="0" w:line="12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If you sell a Note or it is redeemed or you otherwise dispose of a Note, you will not be subject to federal income tax on any gain unless one of the following applies:</w:t>
      </w:r>
    </w:p>
    <w:p>
      <w:pPr>
        <w:spacing w:after="0" w:line="114" w:lineRule="exact"/>
        <w:rPr>
          <w:sz w:val="20"/>
          <w:szCs w:val="20"/>
          <w:color w:val="auto"/>
        </w:rPr>
      </w:pPr>
    </w:p>
    <w:p>
      <w:pPr>
        <w:ind w:left="220" w:right="40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that you conduct in the U.S., subject to an applicable income tax treaty providing otherwise.</w:t>
      </w:r>
    </w:p>
    <w:p>
      <w:pPr>
        <w:spacing w:after="0" w:line="114" w:lineRule="exact"/>
        <w:rPr>
          <w:rFonts w:ascii="Arial" w:cs="Arial" w:eastAsia="Arial" w:hAnsi="Arial"/>
          <w:sz w:val="18"/>
          <w:szCs w:val="18"/>
          <w:color w:val="auto"/>
        </w:rPr>
      </w:pPr>
    </w:p>
    <w:p>
      <w:pPr>
        <w:ind w:left="220" w:right="32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are an individual, you are present in the U.S. for at least 183 days during the taxable year in which you dispose of the Note, and certain other conditions are satisfied.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represents accrued interest, in which case the rules for interest would apply as described above under “Interest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 rules concerning information reporting and backup withholding are described above. These rules apply to Non-U.S. Holders as follows:</w:t>
      </w:r>
    </w:p>
    <w:p>
      <w:pPr>
        <w:spacing w:after="0" w:line="117" w:lineRule="exact"/>
        <w:rPr>
          <w:sz w:val="20"/>
          <w:szCs w:val="20"/>
          <w:color w:val="auto"/>
        </w:rPr>
      </w:pPr>
    </w:p>
    <w:p>
      <w:pPr>
        <w:ind w:left="220" w:right="100" w:hanging="212"/>
        <w:spacing w:after="0" w:line="236"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Principal and interest payments you receive will be automatically exempt from the usual rules if you are a Non-U.S. Holder and have complied with the relevant certification procedures to establish that you are exempt from withholding tax on interest, as described above. The exemption does not apply if the withholding agent or an intermediary knows or has reason to know that you should be subject to the usual information reporting or backup withholding rules. In addition, as described above, interest payments made to you may be reported to the IRS on Form 1042-S.</w:t>
      </w:r>
    </w:p>
    <w:p>
      <w:pPr>
        <w:spacing w:after="0" w:line="116" w:lineRule="exact"/>
        <w:rPr>
          <w:rFonts w:ascii="Arial" w:cs="Arial" w:eastAsia="Arial" w:hAnsi="Arial"/>
          <w:sz w:val="18"/>
          <w:szCs w:val="18"/>
          <w:color w:val="auto"/>
        </w:rPr>
      </w:pPr>
    </w:p>
    <w:p>
      <w:pPr>
        <w:ind w:left="220" w:right="120" w:hanging="212"/>
        <w:spacing w:after="0" w:line="236"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 proceeds you receive on a sale of your Notes through a broker may be subject to information reporting and/or backup withholding if you are not eligible for an exemption. In particular, information reporting and backup reporting may apply if you use the U.S. office of a broker, and information reporting (but not backup withholding) may apply if you use the foreign office of a broker that has certain connections to the United States. In general, you may file Form W-8BEN to claim an exemption from information reporting and backup withholding. We suggest that you consult your tax advisor concerning information reporting and backup withholding on a sale.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Underwriting</w:t>
      </w:r>
    </w:p>
    <w:p>
      <w:pPr>
        <w:spacing w:after="0" w:line="1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Subject to the terms and conditions contained in an underwriting agreement, dated as of the date of this prospectus supplement between us and the underwriters named below, for whom Citigroup Global Markets Inc. and J.P. Morgan Securities Inc. are acting as representatives, we have agreed to sell to each underwriter, and each underwriter has severally agreed to purchase from us, the principal amount of Notes that appears opposite its name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9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Principal</w:t>
            </w:r>
          </w:p>
        </w:tc>
      </w:tr>
      <w:tr>
        <w:trPr>
          <w:trHeight w:val="203"/>
        </w:trPr>
        <w:tc>
          <w:tcPr>
            <w:tcW w:w="99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amount of</w:t>
            </w:r>
          </w:p>
        </w:tc>
      </w:tr>
      <w:tr>
        <w:trPr>
          <w:trHeight w:val="247"/>
        </w:trPr>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notes</w:t>
            </w:r>
          </w:p>
        </w:tc>
      </w:tr>
      <w:tr>
        <w:trPr>
          <w:trHeight w:val="197"/>
        </w:trPr>
        <w:tc>
          <w:tcPr>
            <w:tcW w:w="99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Citigroup Global Markets Inc.</w:t>
            </w:r>
          </w:p>
        </w:tc>
        <w:tc>
          <w:tcPr>
            <w:tcW w:w="15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$150,000,000</w:t>
            </w:r>
          </w:p>
        </w:tc>
      </w:tr>
      <w:tr>
        <w:trPr>
          <w:trHeight w:val="282"/>
        </w:trPr>
        <w:tc>
          <w:tcPr>
            <w:tcW w:w="992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1500" w:type="dxa"/>
            <w:vAlign w:val="bottom"/>
          </w:tcPr>
          <w:p>
            <w:pPr>
              <w:jc w:val="right"/>
              <w:spacing w:after="0"/>
              <w:rPr>
                <w:sz w:val="20"/>
                <w:szCs w:val="20"/>
                <w:color w:val="auto"/>
              </w:rPr>
            </w:pPr>
            <w:r>
              <w:rPr>
                <w:rFonts w:ascii="Arial" w:cs="Arial" w:eastAsia="Arial" w:hAnsi="Arial"/>
                <w:sz w:val="18"/>
                <w:szCs w:val="18"/>
                <w:color w:val="auto"/>
              </w:rPr>
              <w:t>150,000,000</w:t>
            </w:r>
          </w:p>
        </w:tc>
      </w:tr>
      <w:tr>
        <w:trPr>
          <w:trHeight w:val="270"/>
        </w:trPr>
        <w:tc>
          <w:tcPr>
            <w:tcW w:w="9920" w:type="dxa"/>
            <w:vAlign w:val="bottom"/>
          </w:tcPr>
          <w:p>
            <w:pPr>
              <w:spacing w:after="0"/>
              <w:rPr>
                <w:sz w:val="20"/>
                <w:szCs w:val="20"/>
                <w:color w:val="auto"/>
              </w:rPr>
            </w:pPr>
            <w:r>
              <w:rPr>
                <w:rFonts w:ascii="Arial" w:cs="Arial" w:eastAsia="Arial" w:hAnsi="Arial"/>
                <w:sz w:val="18"/>
                <w:szCs w:val="18"/>
                <w:color w:val="auto"/>
              </w:rPr>
              <w:t>SunTrust Robinson Humphrey, Inc.</w:t>
            </w:r>
          </w:p>
        </w:tc>
        <w:tc>
          <w:tcPr>
            <w:tcW w:w="1500" w:type="dxa"/>
            <w:vAlign w:val="bottom"/>
          </w:tcPr>
          <w:p>
            <w:pPr>
              <w:jc w:val="right"/>
              <w:spacing w:after="0"/>
              <w:rPr>
                <w:sz w:val="20"/>
                <w:szCs w:val="20"/>
                <w:color w:val="auto"/>
              </w:rPr>
            </w:pPr>
            <w:r>
              <w:rPr>
                <w:rFonts w:ascii="Arial" w:cs="Arial" w:eastAsia="Arial" w:hAnsi="Arial"/>
                <w:sz w:val="18"/>
                <w:szCs w:val="18"/>
                <w:color w:val="auto"/>
              </w:rPr>
              <w:t>31,400,000</w:t>
            </w:r>
          </w:p>
        </w:tc>
      </w:tr>
      <w:tr>
        <w:trPr>
          <w:trHeight w:val="270"/>
        </w:trPr>
        <w:tc>
          <w:tcPr>
            <w:tcW w:w="992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1500" w:type="dxa"/>
            <w:vAlign w:val="bottom"/>
          </w:tcPr>
          <w:p>
            <w:pPr>
              <w:jc w:val="right"/>
              <w:spacing w:after="0"/>
              <w:rPr>
                <w:sz w:val="20"/>
                <w:szCs w:val="20"/>
                <w:color w:val="auto"/>
              </w:rPr>
            </w:pPr>
            <w:r>
              <w:rPr>
                <w:rFonts w:ascii="Arial" w:cs="Arial" w:eastAsia="Arial" w:hAnsi="Arial"/>
                <w:sz w:val="18"/>
                <w:szCs w:val="18"/>
                <w:color w:val="auto"/>
              </w:rPr>
              <w:t>31,400,000</w:t>
            </w:r>
          </w:p>
        </w:tc>
      </w:tr>
      <w:tr>
        <w:trPr>
          <w:trHeight w:val="270"/>
        </w:trPr>
        <w:tc>
          <w:tcPr>
            <w:tcW w:w="9920" w:type="dxa"/>
            <w:vAlign w:val="bottom"/>
          </w:tcPr>
          <w:p>
            <w:pPr>
              <w:spacing w:after="0"/>
              <w:rPr>
                <w:sz w:val="20"/>
                <w:szCs w:val="20"/>
                <w:color w:val="auto"/>
              </w:rPr>
            </w:pPr>
            <w:r>
              <w:rPr>
                <w:rFonts w:ascii="Arial" w:cs="Arial" w:eastAsia="Arial" w:hAnsi="Arial"/>
                <w:sz w:val="18"/>
                <w:szCs w:val="18"/>
                <w:color w:val="auto"/>
              </w:rPr>
              <w:t>BNY Mellon Capital Markets, LLC</w:t>
            </w:r>
          </w:p>
        </w:tc>
        <w:tc>
          <w:tcPr>
            <w:tcW w:w="1500" w:type="dxa"/>
            <w:vAlign w:val="bottom"/>
          </w:tcPr>
          <w:p>
            <w:pPr>
              <w:jc w:val="right"/>
              <w:spacing w:after="0"/>
              <w:rPr>
                <w:sz w:val="20"/>
                <w:szCs w:val="20"/>
                <w:color w:val="auto"/>
              </w:rPr>
            </w:pPr>
            <w:r>
              <w:rPr>
                <w:rFonts w:ascii="Arial" w:cs="Arial" w:eastAsia="Arial" w:hAnsi="Arial"/>
                <w:sz w:val="18"/>
                <w:szCs w:val="18"/>
                <w:color w:val="auto"/>
              </w:rPr>
              <w:t>17,680,000</w:t>
            </w:r>
          </w:p>
        </w:tc>
      </w:tr>
      <w:tr>
        <w:trPr>
          <w:trHeight w:val="270"/>
        </w:trPr>
        <w:tc>
          <w:tcPr>
            <w:tcW w:w="992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1500" w:type="dxa"/>
            <w:vAlign w:val="bottom"/>
          </w:tcPr>
          <w:p>
            <w:pPr>
              <w:jc w:val="right"/>
              <w:spacing w:after="0"/>
              <w:rPr>
                <w:sz w:val="20"/>
                <w:szCs w:val="20"/>
                <w:color w:val="auto"/>
              </w:rPr>
            </w:pPr>
            <w:r>
              <w:rPr>
                <w:rFonts w:ascii="Arial" w:cs="Arial" w:eastAsia="Arial" w:hAnsi="Arial"/>
                <w:sz w:val="18"/>
                <w:szCs w:val="18"/>
                <w:color w:val="auto"/>
              </w:rPr>
              <w:t>9,760,000</w:t>
            </w:r>
          </w:p>
        </w:tc>
      </w:tr>
      <w:tr>
        <w:trPr>
          <w:trHeight w:val="266"/>
        </w:trPr>
        <w:tc>
          <w:tcPr>
            <w:tcW w:w="992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9,760,000</w:t>
            </w:r>
          </w:p>
        </w:tc>
      </w:tr>
      <w:tr>
        <w:trPr>
          <w:trHeight w:val="203"/>
        </w:trPr>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$400,000,000</w:t>
            </w:r>
          </w:p>
        </w:tc>
      </w:tr>
      <w:tr>
        <w:trPr>
          <w:trHeight w:val="20"/>
        </w:trPr>
        <w:tc>
          <w:tcPr>
            <w:tcW w:w="9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0.400% of the principal amount of the Notes. Any underwriter may allow, and any such dealer may reallow, a concession not in excess of 0.225%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Paid by us</w:t>
            </w:r>
          </w:p>
        </w:tc>
      </w:tr>
      <w:tr>
        <w:trPr>
          <w:trHeight w:val="197"/>
        </w:trPr>
        <w:tc>
          <w:tcPr>
            <w:tcW w:w="56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Per Note</w:t>
            </w:r>
          </w:p>
        </w:tc>
        <w:tc>
          <w:tcPr>
            <w:tcW w:w="58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0.650%</w:t>
            </w:r>
          </w:p>
        </w:tc>
      </w:tr>
      <w:tr>
        <w:trPr>
          <w:trHeight w:val="21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$2,600,000</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Expenses associated with this offering to be paid by us, other than underwriting discounts, are estimated to be approximately $335,000.</w:t>
      </w:r>
    </w:p>
    <w:p>
      <w:pPr>
        <w:spacing w:after="0" w:line="104"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or to contribute to payments which the underwriters may be required to make in respect of any such liabilities.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03"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prices of the Notes. Specifically, the underwriters may overallot in connection with the offering of the Notes, creating syndicate short positions. In addition, the underwriters may bid for and purchase Notes in the open market to cover syndicate short positions or to stabilize the prices of the Notes.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The underwriters are not required to engage in any of these activities, and may end any of them at any time.</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Notes to the public in that Member State except that it may, with effect from and including such date, make an offer of Notes to the public in that Member State at any time:</w:t>
      </w:r>
    </w:p>
    <w:p>
      <w:pPr>
        <w:spacing w:after="0" w:line="114" w:lineRule="exact"/>
        <w:rPr>
          <w:sz w:val="20"/>
          <w:szCs w:val="20"/>
          <w:color w:val="auto"/>
        </w:rPr>
      </w:pPr>
    </w:p>
    <w:p>
      <w:pPr>
        <w:ind w:left="220" w:right="50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14" w:lineRule="exact"/>
        <w:rPr>
          <w:rFonts w:ascii="Arial" w:cs="Arial" w:eastAsia="Arial" w:hAnsi="Arial"/>
          <w:sz w:val="18"/>
          <w:szCs w:val="18"/>
          <w:color w:val="auto"/>
        </w:rPr>
      </w:pPr>
    </w:p>
    <w:p>
      <w:pPr>
        <w:ind w:left="220" w:right="160" w:hanging="212"/>
        <w:spacing w:after="0" w:line="299"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81" w:lineRule="exact"/>
        <w:rPr>
          <w:rFonts w:ascii="Arial" w:cs="Arial" w:eastAsia="Arial" w:hAnsi="Arial"/>
          <w:sz w:val="16"/>
          <w:szCs w:val="16"/>
          <w:color w:val="auto"/>
        </w:rPr>
      </w:pPr>
    </w:p>
    <w:p>
      <w:pPr>
        <w:ind w:left="220" w:right="28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us of a prospectus pursuant to Article 3 of the Prospectus Directive.</w:t>
      </w:r>
    </w:p>
    <w:p>
      <w:pPr>
        <w:spacing w:after="0" w:line="104"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color w:val="auto"/>
        </w:rPr>
        <w:t>For the purposes of the above,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2003/7I/EC and includes any relevant implementing measure in that Member State.</w:t>
      </w:r>
    </w:p>
    <w:p>
      <w:pPr>
        <w:spacing w:after="0" w:line="103" w:lineRule="exact"/>
        <w:rPr>
          <w:sz w:val="20"/>
          <w:szCs w:val="20"/>
          <w:color w:val="auto"/>
        </w:rPr>
      </w:pPr>
    </w:p>
    <w:p>
      <w:pPr>
        <w:ind w:right="420"/>
        <w:spacing w:after="0" w:line="299" w:lineRule="auto"/>
        <w:rPr>
          <w:sz w:val="20"/>
          <w:szCs w:val="20"/>
          <w:color w:val="auto"/>
        </w:rPr>
      </w:pPr>
      <w:r>
        <w:rPr>
          <w:rFonts w:ascii="Arial" w:cs="Arial" w:eastAsia="Arial" w:hAnsi="Arial"/>
          <w:sz w:val="16"/>
          <w:szCs w:val="16"/>
          <w:color w:val="auto"/>
        </w:rPr>
        <w:t>Each underwriter has represented and agreed that (a) it has only communicated or caused to be communicated and will only communicate or cause to be communicated an invitation or inducement to engage in investment activity (within the meaning of Section 21 of the Financial</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Services and Markets Act 2000 (the “Act”)) in connection with the issue or sale of the Notes in circumstances in which Section 21(1) of such Act does not apply to us and (b) it has complied and will comply with all applicable provisions of such Act with respect to anything done by it in relation to any Notes in, from or otherwise involving the United Kingdom.</w:t>
      </w:r>
    </w:p>
    <w:p>
      <w:pPr>
        <w:spacing w:after="0" w:line="10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Certain legal matters in connection with the offering of the Notes will be passed upon for The Washington Post Company by Cravath, Swaine &amp; Moore LLP, New York, New York, and for the underwriters by Davis Polk &amp; Wardwell, New York, New York.</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financial statements, financial statement schedule and management’s assessment of the effectiveness of internal control over financial reporting (which is included in Management’s Report on Internal Control over Financial Reporting) incorporated in this prospectus supplement by reference to the Company’s Annual Report on Form 10-K for the year ended December 30, 2007 have been so incorporated in reliance on the report of PricewaterhouseCoopers LLP, an independent registered public accounting firm, given on the authority of said firm as experts in auditing and accounting.</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240" w:top="459"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THE WASHINGTON POST COMPANY</w:t>
      </w: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1150 15th Street, N.W.</w:t>
      </w:r>
    </w:p>
    <w:p>
      <w:pPr>
        <w:spacing w:after="0" w:line="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Washington, D.C. 20071</w:t>
      </w:r>
    </w:p>
    <w:p>
      <w:pPr>
        <w:ind w:left="5560" w:hanging="521"/>
        <w:spacing w:after="0"/>
        <w:tabs>
          <w:tab w:leader="none" w:pos="55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334-6000</w:t>
      </w:r>
    </w:p>
    <w:p>
      <w:pPr>
        <w:spacing w:after="0" w:line="249" w:lineRule="exact"/>
        <w:rPr>
          <w:rFonts w:ascii="Arial" w:cs="Arial" w:eastAsia="Arial" w:hAnsi="Arial"/>
          <w:sz w:val="22"/>
          <w:szCs w:val="22"/>
          <w:b w:val="1"/>
          <w:bCs w:val="1"/>
          <w:color w:val="auto"/>
        </w:rPr>
      </w:pPr>
    </w:p>
    <w:p>
      <w:pPr>
        <w:ind w:left="47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DEBT SECURITIES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offer from time to time unsecured debt securities consisting of notes, debentures or other evidences of indebtedness.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terms of each series of debt securities will be set forth in a prospectus supplement. You should read this prospectus and the prospectus supplement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debt securities directly, through agents or through underwriters or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date of this prospectus is November 14, 2008</w:t>
      </w:r>
    </w:p>
    <w:p>
      <w:pPr>
        <w:sectPr>
          <w:pgSz w:w="11900" w:h="16838" w:orient="portrait"/>
          <w:cols w:equalWidth="0" w:num="1">
            <w:col w:w="11040"/>
          </w:cols>
          <w:pgMar w:left="240" w:top="459" w:right="6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6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6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Incorporation of Certain Documents By Reference</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Forward-Looking Statements</w:t>
              </w:r>
            </w:hyperlink>
          </w:p>
        </w:tc>
        <w:tc>
          <w:tcPr>
            <w:tcW w:w="1480" w:type="dxa"/>
            <w:vAlign w:val="bottom"/>
            <w:tcBorders>
              <w:top w:val="single" w:sz="8" w:color="0000EE"/>
            </w:tcBorders>
            <w:gridSpan w:val="5"/>
          </w:tcPr>
          <w:p>
            <w:pPr>
              <w:spacing w:after="0"/>
              <w:rPr>
                <w:sz w:val="17"/>
                <w:szCs w:val="17"/>
                <w:color w:val="auto"/>
              </w:rPr>
            </w:pPr>
          </w:p>
        </w:tc>
        <w:tc>
          <w:tcPr>
            <w:tcW w:w="600" w:type="dxa"/>
            <w:vAlign w:val="bottom"/>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The Washington Post Company</w:t>
              </w:r>
            </w:hyperlink>
          </w:p>
        </w:tc>
        <w:tc>
          <w:tcPr>
            <w:tcW w:w="1920" w:type="dxa"/>
            <w:vAlign w:val="bottom"/>
            <w:gridSpan w:val="5"/>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Description of The Debt Securities</w:t>
              </w:r>
            </w:hyperlink>
          </w:p>
        </w:tc>
        <w:tc>
          <w:tcPr>
            <w:tcW w:w="20" w:type="dxa"/>
            <w:vAlign w:val="bottom"/>
            <w:tcBorders>
              <w:top w:val="single" w:sz="8" w:color="0000EE"/>
            </w:tcBorders>
          </w:tcPr>
          <w:p>
            <w:pPr>
              <w:spacing w:after="0"/>
              <w:rPr>
                <w:sz w:val="17"/>
                <w:szCs w:val="17"/>
                <w:color w:val="auto"/>
              </w:rPr>
            </w:pPr>
          </w:p>
        </w:tc>
        <w:tc>
          <w:tcPr>
            <w:tcW w:w="168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2760" w:type="dxa"/>
            <w:vAlign w:val="bottom"/>
            <w:gridSpan w:val="8"/>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3180" w:type="dxa"/>
            <w:vAlign w:val="bottom"/>
            <w:gridSpan w:val="10"/>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This prospectus is part of an automatic shelf registration statement that we filed with the Securities and Exchange Commission (the “Commission”) as a “well-known seasoned issuer” as defined in Rule 405 under the Securities Act of 1933, as amended (the “Securities Act”), utilizing a “shelf” registration process. Under this shelf process, we may, from time to time, sell debt securities described in this prospectus in one or more offerings.</w:t>
      </w:r>
    </w:p>
    <w:p>
      <w:pPr>
        <w:spacing w:after="0" w:line="107"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below.</w:t>
      </w:r>
    </w:p>
    <w:p>
      <w:pPr>
        <w:spacing w:after="0" w:line="13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You should rely only on the information provided in this prospectus and in any prospectus supplement, including the information incorporated by reference. We have not authorized anyone to provide you with different information. We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have filed with the Commission a registration statement under the Securities Act that registers the distribution of the debt securities. The registration statement, including the attached exhibits and schedules, contains additional relevant information about us and our securities. The rules and regulations of the Commission allow us to omit certain information included in the registration statement from this prospectus.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file annual, quarterly and current reports, proxy statements and other information with the Commission under the Securities Exchange Act of 1934, as amended. You may read and copy this information at the following locations of the Commission.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Reference Room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You may also obtain copies of this information by mail from the Public Reference Section of the Commission, 100 F Street, N.E., Washington, D.C. 20549, at prescribed rates. You may obtain information on the operation of the Public Reference Room by calling the Commission at 1-800-SEC-0330.</w:t>
      </w:r>
    </w:p>
    <w:p>
      <w:pPr>
        <w:spacing w:after="0" w:line="8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Commission also maintains a website that contains reports, proxy statements and other information about issuers. The address of that site is http://www.sec.gov.</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can also inspect reports, proxy statements and other information about the Company at the offices of the New York Stock Exchange, 20 Broad Street, New York, New York 10005.</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This prospectus incorporates by reference the documents listed below that we have previously filed with the Commission. They contain important information about us and our predecessors.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Company SEC Filings</w:t>
            </w: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r>
      <w:tr>
        <w:trPr>
          <w:trHeight w:val="21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Annual Report on</w:t>
            </w:r>
          </w:p>
        </w:tc>
        <w:tc>
          <w:tcPr>
            <w:tcW w:w="4680" w:type="dxa"/>
            <w:vAlign w:val="bottom"/>
          </w:tcPr>
          <w:p>
            <w:pPr>
              <w:spacing w:after="0"/>
              <w:rPr>
                <w:sz w:val="20"/>
                <w:szCs w:val="20"/>
                <w:color w:val="auto"/>
              </w:rPr>
            </w:pPr>
            <w:r>
              <w:rPr>
                <w:rFonts w:ascii="Arial" w:cs="Arial" w:eastAsia="Arial" w:hAnsi="Arial"/>
                <w:sz w:val="18"/>
                <w:szCs w:val="18"/>
                <w:color w:val="auto"/>
              </w:rPr>
              <w:t>Form 10-K</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Year</w:t>
            </w:r>
          </w:p>
        </w:tc>
        <w:tc>
          <w:tcPr>
            <w:tcW w:w="4660" w:type="dxa"/>
            <w:vAlign w:val="bottom"/>
          </w:tcPr>
          <w:p>
            <w:pPr>
              <w:spacing w:after="0"/>
              <w:rPr>
                <w:sz w:val="20"/>
                <w:szCs w:val="20"/>
                <w:color w:val="auto"/>
              </w:rPr>
            </w:pPr>
            <w:r>
              <w:rPr>
                <w:rFonts w:ascii="Arial" w:cs="Arial" w:eastAsia="Arial" w:hAnsi="Arial"/>
                <w:sz w:val="18"/>
                <w:szCs w:val="18"/>
                <w:color w:val="auto"/>
              </w:rPr>
              <w:t>ended December 30, 2007</w:t>
            </w: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5060" w:type="dxa"/>
            <w:vAlign w:val="bottom"/>
            <w:gridSpan w:val="2"/>
          </w:tcPr>
          <w:p>
            <w:pPr>
              <w:spacing w:after="0"/>
              <w:rPr>
                <w:sz w:val="20"/>
                <w:szCs w:val="20"/>
                <w:color w:val="auto"/>
              </w:rPr>
            </w:pPr>
            <w:r>
              <w:rPr>
                <w:rFonts w:ascii="Arial" w:cs="Arial" w:eastAsia="Arial" w:hAnsi="Arial"/>
                <w:sz w:val="18"/>
                <w:szCs w:val="18"/>
                <w:color w:val="auto"/>
                <w:w w:val="86"/>
              </w:rPr>
              <w:t>Quarters ended March 30, 2008, June 29, 2008 and September 28, 2008</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5060" w:type="dxa"/>
            <w:vAlign w:val="bottom"/>
            <w:gridSpan w:val="2"/>
          </w:tcPr>
          <w:p>
            <w:pPr>
              <w:spacing w:after="0"/>
              <w:rPr>
                <w:sz w:val="20"/>
                <w:szCs w:val="20"/>
                <w:color w:val="auto"/>
              </w:rPr>
            </w:pPr>
            <w:r>
              <w:rPr>
                <w:rFonts w:ascii="Arial" w:cs="Arial" w:eastAsia="Arial" w:hAnsi="Arial"/>
                <w:sz w:val="18"/>
                <w:szCs w:val="18"/>
                <w:color w:val="auto"/>
                <w:w w:val="87"/>
              </w:rPr>
              <w:t>As filed on January 17, 2008, February 7, 2008, May 16, 2008, June 10,</w:t>
            </w:r>
          </w:p>
        </w:tc>
      </w:tr>
      <w:tr>
        <w:trPr>
          <w:trHeight w:val="222"/>
        </w:trPr>
        <w:tc>
          <w:tcPr>
            <w:tcW w:w="13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2008, June 12, 2008 and July 2, 2008</w:t>
            </w:r>
          </w:p>
        </w:tc>
      </w:tr>
    </w:tbl>
    <w:p>
      <w:pPr>
        <w:spacing w:after="0" w:line="15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incorporate by reference additional documents that we may file with the Commission between the date of this prospectus and the termination or completion of the offering of the debt securities. These documents include periodic reports, such as Annual Reports on Form 10-K, Quarterly Reports on Form 10-Q and Current Reports on Form 8-K, as well as proxy statements. Any report, document, or portion thereof that is furnished to, but not filed with, the Commission is not incorporated by reference. The information contained on our website (</w:t>
      </w:r>
      <w:r>
        <w:rPr>
          <w:rFonts w:ascii="Arial" w:cs="Arial" w:eastAsia="Arial" w:hAnsi="Arial"/>
          <w:sz w:val="16"/>
          <w:szCs w:val="16"/>
          <w:i w:val="1"/>
          <w:iCs w:val="1"/>
          <w:color w:val="auto"/>
        </w:rPr>
        <w:t>www.washpostco.com</w:t>
      </w:r>
      <w:r>
        <w:rPr>
          <w:rFonts w:ascii="Arial" w:cs="Arial" w:eastAsia="Arial" w:hAnsi="Arial"/>
          <w:sz w:val="16"/>
          <w:szCs w:val="16"/>
          <w:color w:val="auto"/>
        </w:rPr>
        <w:t>) is not incorporated into this prospectus.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by requesting them in writing or by telephone from us at the following address: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Counsel’s Office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20071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 334-6000</w:t>
      </w:r>
    </w:p>
    <w:p>
      <w:pPr>
        <w:spacing w:after="0" w:line="165" w:lineRule="exact"/>
        <w:rPr>
          <w:sz w:val="20"/>
          <w:szCs w:val="20"/>
          <w:color w:val="auto"/>
        </w:rPr>
      </w:pPr>
    </w:p>
    <w:p>
      <w:pPr>
        <w:jc w:val="center"/>
        <w:ind w:left="480" w:right="220"/>
        <w:spacing w:after="0" w:line="440" w:lineRule="auto"/>
        <w:rPr>
          <w:sz w:val="20"/>
          <w:szCs w:val="20"/>
          <w:color w:val="auto"/>
        </w:rPr>
      </w:pPr>
      <w:r>
        <w:rPr>
          <w:rFonts w:ascii="Arial" w:cs="Arial" w:eastAsia="Arial" w:hAnsi="Arial"/>
          <w:sz w:val="18"/>
          <w:szCs w:val="18"/>
          <w:color w:val="auto"/>
        </w:rPr>
        <w:t>If you request any incorporated documents from us, we will mail them to you by first class mail, or other means, promptly after we receive your request. 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All public statements made by us and our representatives which are not statements of historical fact, including certain statements in this registration statement on Form S-3, are “forward-looking statements” within the meaning of the Private Securities Litigation Reform Act of 1995. Forward-looking statements including comments about our business strategies and objectives, the prospects for growth in our various business operations, and our future financial performance. As with any projection or forecast, forward-looking statements are subject to various risks and uncertainties that could cause actual results or events to differ materially from those anticipated in such statements. Accordingly, undue reliance should not be placed on any forward-looking statement made by or on behalf of us. We assume no obligation to update any forward-looking statement after the date on which such statement is made, even if new information subsequently becomes available.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Washington Post Company is a diversified education and media company. Our Kaplan subsidiary provides a wide variety of educational services, both domestically and outside the United States. Our media operations consist of newspaper publishing (principally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 television broadcasting (through the ownership and operation of six television broadcast stations), magazine publishing (principally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 and the ownership and operation of cable television systems.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were incorporated in 1947 under the laws of the State of Delaware. Our executive offices are located at 1150 15th Street, N.W., Washington, D.C. 20071, and our telephone number is (202) 334-6000. We maintain a website that contains information about us at www.washpostco.com. The information included on our website is not, and should not be considered as, a part of this prospectus.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intend to use the net proceeds from the sale of the debt securities offered by this prospectus for general corporate purposes. These may include payment of other debt, capital expenditures, possible acquisitions, repurchase of our stock, and other purposes as may be stated in the prospectus supplement.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ratio of earnings to fixed charges has been computed by dividing “earnings available for fixed charges” by “fixed charges.” For purposes of computing this ratio, “earnings available for fixed charges” principally consists of (i) income before income taxes, and cumulative effect of change in accounting principle, and equity in earnings (losses) of affiliates, plus (ii) “fixed charges” (excluding capitalized interest). “Fixed charges” principally consists of interest expense and the portion of rental expense that is representative of the interest factor.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Thirty Nine</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00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Weeks Ended</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Fiscal Year Ended</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00" w:type="dxa"/>
            <w:vAlign w:val="bottom"/>
          </w:tcPr>
          <w:p>
            <w:pPr>
              <w:spacing w:after="0"/>
              <w:rPr>
                <w:sz w:val="11"/>
                <w:szCs w:val="11"/>
                <w:color w:val="auto"/>
              </w:rPr>
            </w:pPr>
          </w:p>
        </w:tc>
        <w:tc>
          <w:tcPr>
            <w:tcW w:w="138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9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6"/>
              </w:rPr>
              <w:t>January 1,</w:t>
            </w:r>
          </w:p>
        </w:tc>
        <w:tc>
          <w:tcPr>
            <w:tcW w:w="122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6"/>
              </w:rPr>
              <w:t>January 2,</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28,</w:t>
            </w:r>
          </w:p>
        </w:tc>
        <w:tc>
          <w:tcPr>
            <w:tcW w:w="20" w:type="dxa"/>
            <w:vAlign w:val="bottom"/>
          </w:tcPr>
          <w:p>
            <w:pPr>
              <w:spacing w:after="0"/>
              <w:rPr>
                <w:sz w:val="11"/>
                <w:szCs w:val="11"/>
                <w:color w:val="auto"/>
              </w:rPr>
            </w:pPr>
          </w:p>
        </w:tc>
      </w:tr>
      <w:tr>
        <w:trPr>
          <w:trHeight w:val="161"/>
        </w:trPr>
        <w:tc>
          <w:tcPr>
            <w:tcW w:w="40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4"/>
                <w:szCs w:val="14"/>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363"/>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debt securities will be issued under an indenture (the “base indenture”), dated as of February 17, 1999, between the Company and The Bank of New York Mellon Trust Company, N.A. (successor trustee to The First National Bank of Chicago), as trustee, as amended by a First Supplemental Indenture dated as of September 22, 2003 (the “supplement,” together with the base indenture, the “Indenture”). The base indenture was filed as an exhibit to the Company’s Annual Report on Form 10-K for the fiscal year ended January 3, 1999 and is herein incorporated by reference. The supplement was filed as an exhibit to the Company’s Current Report filed on Form 8-K on September 22, 2003 and is herein incorporated by reference. The debt securities may be issued from time to time in one or more series. The particular terms of each series will be described in a prospectus supplement. The following statements are subject to the detailed provisions of the Indenture. Capitalized terms that are not defined in the following discussion have the meanings assigned to them in the Indenture. For purposes of this section of this prospectus, references to “the Company” are to “The Washington Post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debt securities may be issued from time to time under the Indenture in an unlimited aggregate principal amount and an unlimited number of series.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are unsecured and will have the same rank as all other unsecured and non-subordinated debt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relating to the series of debt securities which it offers describes to the extent applicable:</w:t>
      </w:r>
    </w:p>
    <w:p>
      <w:pPr>
        <w:spacing w:after="0" w:line="90" w:lineRule="exact"/>
        <w:rPr>
          <w:sz w:val="20"/>
          <w:szCs w:val="20"/>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debt securities of such series;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such debt securities;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person to whom the interest on a debt security of any series will be payable if not the person in whose name that debt security is registered on the regular record date;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 or the method of determination of such date or dates;</w:t>
      </w:r>
    </w:p>
    <w:p>
      <w:pPr>
        <w:spacing w:after="0" w:line="90" w:lineRule="exact"/>
        <w:rPr>
          <w:rFonts w:ascii="Arial" w:cs="Arial" w:eastAsia="Arial" w:hAnsi="Arial"/>
          <w:sz w:val="18"/>
          <w:szCs w:val="18"/>
          <w:color w:val="auto"/>
        </w:rPr>
      </w:pPr>
    </w:p>
    <w:p>
      <w:pPr>
        <w:ind w:left="460" w:right="60" w:firstLine="443"/>
        <w:spacing w:after="0" w:line="332" w:lineRule="auto"/>
        <w:tabs>
          <w:tab w:leader="none" w:pos="11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rate or rates, or the method of determination thereof, at which such debt securities will bear interest, if any, the date or dates from which such interest will accrue, the date or dates such interest will be payable and, for registered debt securities, the Regular Record Dates;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and interest, if any, on, such debt securities will be payable;</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the terms and conditions upon which any such debt security may be redeemed, in whole or in part, at the option of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terms for redemption or repurchase pursuant to any sinking fund or analogous provision or the option of a Holder;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terms for conversion of the debt securities into other securities of the Company or any other corporation at the option of a Holder;</w:t>
      </w:r>
    </w:p>
    <w:p>
      <w:pPr>
        <w:spacing w:after="0" w:line="113" w:lineRule="exact"/>
        <w:rPr>
          <w:rFonts w:ascii="Arial" w:cs="Arial" w:eastAsia="Arial" w:hAnsi="Arial"/>
          <w:sz w:val="16"/>
          <w:szCs w:val="16"/>
          <w:color w:val="auto"/>
        </w:rPr>
      </w:pPr>
    </w:p>
    <w:p>
      <w:pPr>
        <w:ind w:left="1240" w:hanging="337"/>
        <w:spacing w:after="0"/>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terms for the attachment to such debt securities of warrants, options or other rights to purchase or sell stock or other securities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83" w:lineRule="exact"/>
        <w:rPr>
          <w:rFonts w:ascii="Arial" w:cs="Arial" w:eastAsia="Arial" w:hAnsi="Arial"/>
          <w:sz w:val="16"/>
          <w:szCs w:val="16"/>
          <w:color w:val="auto"/>
        </w:rPr>
      </w:pPr>
    </w:p>
    <w:p>
      <w:pPr>
        <w:ind w:left="460" w:right="200" w:firstLine="443"/>
        <w:spacing w:after="0" w:line="268"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such debt securities that will be payable upon acceleration of maturity (debt securities subject to such provisions being referred to as “Original Issue Discount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357" w:lineRule="auto"/>
        <w:tabs>
          <w:tab w:leader="none" w:pos="12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ind w:left="460" w:right="180" w:firstLine="443"/>
        <w:spacing w:after="0" w:line="268"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other than U.S. dollars, the currency, currencies or currency unit or units in which such debt securities will be denominated and in which the principal of, and premium and interest, if any, on, such securities will be payable and related restrictions;</w:t>
      </w:r>
    </w:p>
    <w:p>
      <w:pPr>
        <w:spacing w:after="0" w:line="50" w:lineRule="exact"/>
        <w:rPr>
          <w:rFonts w:ascii="Arial" w:cs="Arial" w:eastAsia="Arial" w:hAnsi="Arial"/>
          <w:sz w:val="18"/>
          <w:szCs w:val="18"/>
          <w:color w:val="auto"/>
        </w:rPr>
      </w:pPr>
    </w:p>
    <w:p>
      <w:pPr>
        <w:ind w:left="460" w:right="18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and the terms and conditions on which, the Company or a Holder may elect that, or the other circumstances under which, payment of principal of, or premium or interest, if any, on, such debt securities is to be made in a currency or currencies or currency unit or units other than that in which such debt securities are denominated;</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matter of determining the amount of principal of, or premium or interest, if any, on, any such debt securities to be determined with reference to an index based on a currency or currency unit or units other than that in which such debt securities are stated to be payable or an index based on any other method;</w:t>
      </w:r>
    </w:p>
    <w:p>
      <w:pPr>
        <w:spacing w:after="0" w:line="59" w:lineRule="exact"/>
        <w:rPr>
          <w:rFonts w:ascii="Arial" w:cs="Arial" w:eastAsia="Arial" w:hAnsi="Arial"/>
          <w:sz w:val="18"/>
          <w:szCs w:val="18"/>
          <w:color w:val="auto"/>
        </w:rPr>
      </w:pPr>
    </w:p>
    <w:p>
      <w:pPr>
        <w:ind w:left="460" w:right="38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such debt securities will be issued in fully registered form without coupons or in bearer form with or without coupons, or any combination thereof, whether such debt securities will be issued in the form of one or more global securities and whether such debt securities are to be issuable in temporary global form or definitive global form;</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such debt securities are to be issued upon the exercise of warrants, the time, manner and place for such debt securities to be authenticated and</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delivered;</w:t>
      </w:r>
    </w:p>
    <w:p>
      <w:pPr>
        <w:spacing w:after="0" w:line="83" w:lineRule="exact"/>
        <w:rPr>
          <w:rFonts w:ascii="Arial" w:cs="Arial" w:eastAsia="Arial" w:hAnsi="Arial"/>
          <w:sz w:val="15"/>
          <w:szCs w:val="15"/>
          <w:color w:val="auto"/>
        </w:rPr>
      </w:pPr>
    </w:p>
    <w:p>
      <w:pPr>
        <w:ind w:left="46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to any holder of such debt securities who is not a United States person in respect of any tax, assessment or governmental charge withheld or deducted and, if so, whether and on what terms the Company will have the option to redeem such debt securities rather than pay any additional amounts; and</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any of such debt securities not inconsistent with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Merger, Consolidation and Certain Sale of Assets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Indenture provides that the Company will not consolidate with or merge into any other corporation, or convey or transfer all or substantially all its properties and assets as an entirety to, any person unless:</w:t>
      </w:r>
    </w:p>
    <w:p>
      <w:pPr>
        <w:spacing w:after="0" w:line="51"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is a U.S. corporation, partnership, limited liability company, trust or other entity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assumes on the same terms and conditions all the obligations under the debt securities and the Indenture,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there is no default under the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such merger, consolidation, conveyance or transfer, the successor will succeed to, and will be substituted in lieu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Company</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Event risk</w:t>
      </w:r>
      <w:r>
        <w:rPr>
          <w:rFonts w:ascii="Arial" w:cs="Arial" w:eastAsia="Arial" w:hAnsi="Arial"/>
          <w:sz w:val="18"/>
          <w:szCs w:val="18"/>
          <w:color w:val="auto"/>
        </w:rPr>
        <w:t>. Except for the limitations on Secured Indebtedness and Sale and Leaseback Transactions described below, the Indenture and debt securities do</w:t>
      </w:r>
      <w:r>
        <w:rPr>
          <w:rFonts w:ascii="Arial" w:cs="Arial" w:eastAsia="Arial" w:hAnsi="Arial"/>
          <w:sz w:val="18"/>
          <w:szCs w:val="18"/>
          <w:i w:val="1"/>
          <w:iCs w:val="1"/>
          <w:color w:val="auto"/>
        </w:rPr>
        <w:t xml:space="preserve"> </w:t>
      </w:r>
      <w:r>
        <w:rPr>
          <w:rFonts w:ascii="Arial" w:cs="Arial" w:eastAsia="Arial" w:hAnsi="Arial"/>
          <w:sz w:val="18"/>
          <w:szCs w:val="18"/>
          <w:color w:val="auto"/>
        </w:rPr>
        <w:t>not contain any covenants or other provisions designed to afford holders of the debt securities protections in the event of a highly leveraged transaction involving the Company.</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Limitation on secured Indebtedness</w:t>
      </w:r>
      <w:r>
        <w:rPr>
          <w:rFonts w:ascii="Arial" w:cs="Arial" w:eastAsia="Arial" w:hAnsi="Arial"/>
          <w:sz w:val="18"/>
          <w:szCs w:val="18"/>
          <w:color w:val="auto"/>
        </w:rPr>
        <w:t>. The Indenture provides that the Company will not, and will not permit any Restricted Subsidiary to, create, assume,</w:t>
      </w:r>
      <w:r>
        <w:rPr>
          <w:rFonts w:ascii="Arial" w:cs="Arial" w:eastAsia="Arial" w:hAnsi="Arial"/>
          <w:sz w:val="18"/>
          <w:szCs w:val="18"/>
          <w:i w:val="1"/>
          <w:iCs w:val="1"/>
          <w:color w:val="auto"/>
        </w:rPr>
        <w:t xml:space="preserve"> </w:t>
      </w:r>
      <w:r>
        <w:rPr>
          <w:rFonts w:ascii="Arial" w:cs="Arial" w:eastAsia="Arial" w:hAnsi="Arial"/>
          <w:sz w:val="18"/>
          <w:szCs w:val="18"/>
          <w:color w:val="auto"/>
        </w:rPr>
        <w:t>incur or guarantee any Secured Indebtedness without securing the debt securities equally and ratably with, or prior to, such Secured Indebtedness unless immediately thereafter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aggregate amount of all outstanding Secured Indebtedness (exclusive of Secured Indebtedness if the debt securities are secured equally and ratably with, or prior to, such Secured Indebtedness and not including any Secured Indebtedness which is concurrently being retired) and the discounted present value determined as set forth in the Indenture of all net rentals payable under existing leases entered into in connection with Sale and Leaseback Transactions (as defined below) (“Attributable Debt”) entered into after a specified date (except any such leases entered into by a Restricted Subsidiary before the time it became a Restricted Subsidiary not including any Attributable Debt which is concurrently being retired) would not exceed 15% of Consolidated Net Worth.</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Limitation on sale and leaseback transactions</w:t>
      </w:r>
      <w:r>
        <w:rPr>
          <w:rFonts w:ascii="Arial" w:cs="Arial" w:eastAsia="Arial" w:hAnsi="Arial"/>
          <w:sz w:val="16"/>
          <w:szCs w:val="16"/>
          <w:color w:val="auto"/>
        </w:rPr>
        <w:t>. The Indenture provides that the Company will not, and will not permit any Restricted Subsidiary to, enter</w:t>
      </w:r>
      <w:r>
        <w:rPr>
          <w:rFonts w:ascii="Arial" w:cs="Arial" w:eastAsia="Arial" w:hAnsi="Arial"/>
          <w:sz w:val="16"/>
          <w:szCs w:val="16"/>
          <w:i w:val="1"/>
          <w:iCs w:val="1"/>
          <w:color w:val="auto"/>
        </w:rPr>
        <w:t xml:space="preserve"> </w:t>
      </w:r>
      <w:r>
        <w:rPr>
          <w:rFonts w:ascii="Arial" w:cs="Arial" w:eastAsia="Arial" w:hAnsi="Arial"/>
          <w:sz w:val="16"/>
          <w:szCs w:val="16"/>
          <w:color w:val="auto"/>
        </w:rPr>
        <w:t>any lease longer than three years (excluding leases of newly acquired, improved or constructed property) covering any Principal Property of the Company or any Restricted Subsidiary that is sold to any other person in connection with such lease (a “Sale and Leaseback Transaction”), unless either:</w:t>
      </w:r>
    </w:p>
    <w:p>
      <w:pPr>
        <w:spacing w:after="0" w:line="26" w:lineRule="exact"/>
        <w:rPr>
          <w:sz w:val="20"/>
          <w:szCs w:val="20"/>
          <w:color w:val="auto"/>
        </w:rPr>
      </w:pPr>
    </w:p>
    <w:p>
      <w:pPr>
        <w:ind w:left="1140" w:hanging="23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thereafter, the sum of:</w:t>
      </w:r>
    </w:p>
    <w:p>
      <w:pPr>
        <w:spacing w:after="0" w:line="90" w:lineRule="exact"/>
        <w:rPr>
          <w:rFonts w:ascii="Arial" w:cs="Arial" w:eastAsia="Arial" w:hAnsi="Arial"/>
          <w:sz w:val="18"/>
          <w:szCs w:val="18"/>
          <w:color w:val="auto"/>
        </w:rPr>
      </w:pPr>
    </w:p>
    <w:p>
      <w:pPr>
        <w:ind w:left="920" w:right="340" w:firstLine="421"/>
        <w:spacing w:after="0" w:line="357" w:lineRule="auto"/>
        <w:tabs>
          <w:tab w:leader="none" w:pos="1549" w:val="left"/>
        </w:tabs>
        <w:numPr>
          <w:ilvl w:val="1"/>
          <w:numId w:val="21"/>
        </w:numPr>
        <w:rPr>
          <w:rFonts w:ascii="Arial" w:cs="Arial" w:eastAsia="Arial" w:hAnsi="Arial"/>
          <w:sz w:val="15"/>
          <w:szCs w:val="15"/>
          <w:color w:val="auto"/>
        </w:rPr>
      </w:pPr>
      <w:r>
        <w:rPr>
          <w:rFonts w:ascii="Arial" w:cs="Arial" w:eastAsia="Arial" w:hAnsi="Arial"/>
          <w:sz w:val="15"/>
          <w:szCs w:val="15"/>
          <w:color w:val="auto"/>
        </w:rPr>
        <w:t>the discounted present value determined as set forth in the Indenture of all net rentals payable under all such existing leases entered into after a specified date (except any such leases entered into by a Restricted Subsidiary before the time it became a Restricted Subsidiary), and</w:t>
      </w:r>
    </w:p>
    <w:p>
      <w:pPr>
        <w:ind w:left="920" w:right="80" w:firstLine="421"/>
        <w:spacing w:after="0" w:line="268" w:lineRule="auto"/>
        <w:tabs>
          <w:tab w:leader="none" w:pos="15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aggregate amount of all outstanding Secured Indebtedness (exclusive of Secured Indebtedness if the debt securities are secured equally and ratably with, or prior to, such Secured Indebtedness) does not exceed 15% of Consolidated Net Worth; or</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net proceeds to the Company or a Restricted Subsidiary from such Sale and Leaseback Transaction, and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discounted present value determined as set forth in the Indenture of all net rentals payable thereunder</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is applied within 180 days to the retirement of long-term debt of the Company or a Restricted Subsidiary (other than such debt which is subordinated to the debt securities or which is owing to the Company or a Restricted Subsidiary).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definitions used in the covenants</w:t>
      </w:r>
      <w:r>
        <w:rPr>
          <w:rFonts w:ascii="Arial" w:cs="Arial" w:eastAsia="Arial" w:hAnsi="Arial"/>
          <w:sz w:val="18"/>
          <w:szCs w:val="18"/>
          <w:color w:val="auto"/>
        </w:rPr>
        <w:t>. The Indenture defines some of the terms used in the Covenants as follows:</w:t>
      </w:r>
    </w:p>
    <w:p>
      <w:pPr>
        <w:spacing w:after="0" w:line="90"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“Secured Indebtedness” will mean indebtedness of the Company or any Restricted Subsidiary for borrowed money which is secured by any lien upon (or in respect of any conditional sale or other title retention agreement covering) any Principal Property or any stock or indebtedness of a Restricted Subsidiary, but excluding from such definition all indebtedness: (i) outstanding on a specified date, secured by liens (or arising from conditional sale or other title retention agreements) existing on that date; (ii) incurred after a specified date to finance the acquisition, improvement or construction of property and either secured by purchase money mortgages or liens placed on such property within 180 days of acquisition, improvement or construction or arising from conditional sale or other title retention agreements; (iii) secured by liens on Principal Property or on the stock or indebtedness of Restricted Subsidiary, and, in either case, existing at the time of acquisition thereof; (iv) owing to the Company or any Restricted Subsidiary; (v) secured by liens (or conditional sale or other title retention devices) existing at the time a corporation became or becomes a Restricted Subsidiary in the case of a corporation which shall have become or becomes a Restricted Subsidiary after a specified date; (vi) guarantees by the Company of Secured Indebtedness and Attributable Debt of any Restricted Subsidiaries and guarantees by a Restricted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Subsidiary of Secured Indebtedness and Attributable Debt of the Company and any other Restricted Subsidiaries; (vii) arising from any Sale and Leaseback Transaction; (viii) incurred to finance the acquisition or construction of property secured by liens in favor of any country or any political subdivision thereof; and (ix) constituting any replacement, extension or renewal of any such indebtedness (to the extent such indebtedness is not increased).</w:t>
      </w:r>
    </w:p>
    <w:p>
      <w:pPr>
        <w:spacing w:after="0" w:line="7"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is owned by or leased to the Company or a Restricted Subsidiary, is located within the United States and has an acquisition cost plus capitalized improvements in excess of 1% of Consolidated Net Worth as of the date of such determination, other than any such facility financed through the issuance of tax-exempt governmental obligations, or which the Board of Directors determines is not of material importance to the Company and its Restricted Subsidiaries taken as a whole, or in which the interest of the Company and all its Subsidiaries does not exceed 50%.</w:t>
      </w:r>
    </w:p>
    <w:p>
      <w:pPr>
        <w:spacing w:after="0" w:line="39" w:lineRule="exact"/>
        <w:rPr>
          <w:sz w:val="20"/>
          <w:szCs w:val="20"/>
          <w:color w:val="auto"/>
        </w:rPr>
      </w:pPr>
    </w:p>
    <w:p>
      <w:pPr>
        <w:ind w:left="460" w:right="420" w:firstLine="438"/>
        <w:spacing w:after="0" w:line="332" w:lineRule="auto"/>
        <w:rPr>
          <w:sz w:val="20"/>
          <w:szCs w:val="20"/>
          <w:color w:val="auto"/>
        </w:rPr>
      </w:pPr>
      <w:r>
        <w:rPr>
          <w:rFonts w:ascii="Arial" w:cs="Arial" w:eastAsia="Arial" w:hAnsi="Arial"/>
          <w:sz w:val="16"/>
          <w:szCs w:val="16"/>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4"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“Restricted Subsidiary” will mean any Subsidiary of the Company which has substantially all its property in the United States, which transacts substantially all its business in the United States, and which owns or is a lessee of any Principal Property. Subsidiaries organized or acquired after a specified date for the purpose of acquiring the stock, business or assets of any person other than the Company or any Restricted Subsidiary and which (after giving effect to such acquisition) have consolidated total assets of not more that 10% of the consolidated total assets of the Company and its subsidiaries are excluded from the definition of Restricted Subsidiary.</w:t>
      </w:r>
    </w:p>
    <w:p>
      <w:pPr>
        <w:spacing w:after="0" w:line="62"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“Subsidiary” will mean any corporation a majority of the voting shares of which are at the time owned or controlled, directly or indirectly, by the Company or by one or more Subsidiaries, or by the Company and one or more Subsidiaries.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debt securities will be issued in registered form, without interest coupons. There will be no service charge for any registration of transfer or exchange of the debt securities. However, payment of any transfer tax or similar governmental charge payable for that registration may be required.</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effect the transfer or exchange if its requirements and the requirements of the applicable indenture are met.</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90" w:lineRule="exact"/>
        <w:rPr>
          <w:sz w:val="20"/>
          <w:szCs w:val="20"/>
          <w:color w:val="auto"/>
        </w:rPr>
      </w:pPr>
    </w:p>
    <w:p>
      <w:pPr>
        <w:ind w:left="900" w:right="1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Unless we inform you otherwise in a prospectus supplement, payments 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means each day on which commercial banks and foreign exchange markets settle payments in the place or places where the principal of (and premium, if any) and interest, if any, on the Securities of that series are payable, or place of publication. Unless otherwise specified, “business day” shall exclude any day on which commercial banks and foreign exchange markets do not settle payments in London.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debt securities of a series may be issued in the form of one or more 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w:t>
      </w:r>
    </w:p>
    <w:p>
      <w:pPr>
        <w:ind w:right="500" w:firstLine="8"/>
        <w:spacing w:after="0" w:line="255"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may defease any series of debt securities and, at its option, either (a) be Discharged after 90 days from any and all obligations in respect of such series of debt securities (except for certain obligations to register the transfer of or exchange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Events of Default in respect of any series are defined in the Indenture as being:</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when due;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payment of principal of, or premium, if any, on, debt securities of such series when due at their stated maturity, by declaration, when called for redemption or otherwise;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for 30 days in the making of any payment for a sinking, purchase or analogous fund provided for in respect of debt securities of such series;</w:t>
      </w:r>
    </w:p>
    <w:p>
      <w:pPr>
        <w:spacing w:after="0" w:line="113"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for 90 days after notice to the Company by the trustee or by holders of at least 25% in aggregate principal amount of the outstanding debt securities of such series in the performance of any covenant or agreement in the debt securities of such series or in the Indenture with respect to debt securities of such series;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and any other Event of Default provided with respect to the debt securities of such series.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Event of Default with respect to a single series of indebtedness issued under the Indenture (and any supplemental indentures) necessarily constitutes an Event of Default with respect to any other series of indebtedness issued thereunder.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The term “default” for the purpose of this provision only means the happening of any of the Events of Default specified above, except that any grace period or notice requirement is eliminated.</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contains provisions entitling the trustee, subject to the duty of the trustee during an Event of Default to act with the required standard of care, to be indemnified by the holders of the debt securities before proceeding to exercise any right or power under the Indenture at the request of holders of the debt securities.</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Indenture includes a covenant that the Company will file annually with the trustee an officers’ certificate stating whether any default exists and specifying any default that exists.</w:t>
      </w:r>
    </w:p>
    <w:p>
      <w:pPr>
        <w:spacing w:after="0" w:line="13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 the debt securities of such series.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Indenture allows the Company and the trustee, without the consent of any holders of debt securities, to enter into supplemental indentures for the purposes, among other things, of:</w:t>
      </w:r>
    </w:p>
    <w:p>
      <w:pPr>
        <w:spacing w:after="0" w:line="51" w:lineRule="exact"/>
        <w:rPr>
          <w:sz w:val="20"/>
          <w:szCs w:val="20"/>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and the assumption by such corporation of the covenants of the Company in the Indenture and series of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to the Company’s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additional Events of Default,</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the form or terms of any series of debt securities issued under such supplemental indentures or curing ambiguities or inconsistencies in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making other provisions that do not adversely affect the interests of the holders of any series of debt securities in any material respect.</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62" w:lineRule="exact"/>
        <w:rPr>
          <w:sz w:val="20"/>
          <w:szCs w:val="20"/>
          <w:color w:val="auto"/>
        </w:rPr>
      </w:pPr>
    </w:p>
    <w:p>
      <w:pPr>
        <w:ind w:left="5620" w:right="2340" w:hanging="4717"/>
        <w:spacing w:after="0" w:line="440" w:lineRule="auto"/>
        <w:tabs>
          <w:tab w:leader="none" w:pos="11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 11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the rate of interest on, or any premium payable upon the redemption of, any debt security;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 the amount of the principal of an Original Issue Discount Security that would be due and payable upon acceleration of the Maturity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3"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currencies or currency unit or units in which, any debt security or any premium or interest thereon is payable;</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on or after the Stated Maturity thereof (or, in the case of redemption, on or after the Redemption Date);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affect adversely the terms, if any, of conversion of any debt security into stock or other securities of the Company or of any other corporation;</w:t>
      </w:r>
    </w:p>
    <w:p>
      <w:pPr>
        <w:spacing w:after="0" w:line="113"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any obligation of the Company, with respect to outstanding debt securities of a series, to maintain an office or agency in the places and for the purposes specified in the Indenture for such series;</w:t>
      </w:r>
    </w:p>
    <w:p>
      <w:pPr>
        <w:spacing w:after="0" w:line="50"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modify any of the foregoing provisions or the provisions for the waiver of certain covenants and defaults, except to increase any applicable percentage of the aggregate principal amount of outstanding debt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contains provisions for convening meetings of the holders of debt securities of any series. A meeting may be called at any time by the trustee under the Indenture, and also, upon request, by the Company or the holders of at least 10% in principal amount of the outstanding debt securities of such series, in any such case upon notice given in accordance with “Notices” below.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w:t>
      </w:r>
    </w:p>
    <w:p>
      <w:pPr>
        <w:spacing w:after="0" w:line="12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may from time to time maintain lines of credit, and have other customary banking relationships, with The Bank of New York Mellon Trust Company, N.A. (successor trustee to The First National Bank of Chicago), the trustee under the Indenture, or with its affiliates.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may sell the debt securities in any of three ways: (i) through underwriters, (ii) through agents or (iii) directly to a limited number of institutional purchasers or to a single purchaser. The applicable prospectus supplement, will set forth the terms of the offering of the debt securities of such series, including the name or names of any underwriters, the purchase price and the proceeds we receive from such sale, any underwriting discounts and other items constituting underwriters’ compensation, any initial public offering price and any discounts or concessions allowed or reallowed or paid to dealers and any securities exchanges on which the debt securities of such series may be listed.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use underwriters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Unless otherwise set forth in the prospectus supplement, the obligations of the underwriters to purchase debt securities will be subject to certain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may sell debt securities directly or through agents designated by us from time to time. Any agent involved in the offer or sale of the debt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authorize agents or underwriters to solicit offers by certain types of institutions to purchase debt securities from us at the public offering price set forth in the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commissions payable for solicitation of such contracts.</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Agents and underwriters may be entitled under agreements entered into with us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the Company in the ordinary course of business.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series of debt securities will be a new issue of securities with no established trading market. Any underwriters to whom we sell debt securities for public offering and sale may make a market in such debt securities, but such underwriters will not be obligated to do so and may discontinue any market making at any time without notice. No assurance can be given as to the liquidity of the trading market for any debt securities.</w:t>
      </w: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Cravath, Swaine &amp; Moore LLP will issue an opinion concerning the validity of the offered debt securities for The Washington Post Company. Any underwriter, dealer or agent will be advised about other legal issues relating to any offering by its own legal counsel.</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consolidated financial statements, financial statement schedule and management’s assessment of the effectiveness of internal control over financial reporting (which is included in Management’s Report on Internal Control over Financial Reporting) incorporated in this prospectus by reference to the Company’s Annual Report on Form 10-K for the year ended December 30, 2007 have been so incorporated in reliance on the report of PricewaterhouseCoopers LLP, an independent registered public accounting firm, given on the authority of said firm as experts in auditing and accounting.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2064385</wp:posOffset>
            </wp:positionV>
            <wp:extent cx="2992755" cy="1543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92755" cy="154368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3"/>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20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2"/>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2019-12-10T03:43:24Z</dcterms:created>
  <dcterms:modified xsi:type="dcterms:W3CDTF">2019-12-10T03:43:24Z</dcterms:modified>
</cp:coreProperties>
</file>